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A3D8B" w:rsidRPr="000E5858" w:rsidTr="00B70CDC">
        <w:tc>
          <w:tcPr>
            <w:tcW w:w="9889" w:type="dxa"/>
          </w:tcPr>
          <w:p w:rsidR="005902BE" w:rsidRPr="005A3D8B" w:rsidRDefault="00F819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0C325B" w:rsidRDefault="006707E7" w:rsidP="006707E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A3D8B">
              <w:rPr>
                <w:b/>
                <w:sz w:val="28"/>
                <w:szCs w:val="28"/>
                <w:u w:val="single"/>
                <w:lang w:val="uk-UA"/>
              </w:rPr>
              <w:t>«</w:t>
            </w:r>
            <w:proofErr w:type="spellStart"/>
            <w:r w:rsidR="000C325B" w:rsidRPr="00584383">
              <w:rPr>
                <w:b/>
                <w:sz w:val="28"/>
                <w:szCs w:val="28"/>
                <w:u w:val="single"/>
              </w:rPr>
              <w:t>Обґрунтування</w:t>
            </w:r>
            <w:proofErr w:type="spellEnd"/>
            <w:r w:rsidR="000C325B" w:rsidRPr="00584383">
              <w:rPr>
                <w:b/>
                <w:sz w:val="28"/>
                <w:szCs w:val="28"/>
                <w:u w:val="single"/>
                <w:lang w:val="uk-UA"/>
              </w:rPr>
              <w:t xml:space="preserve"> господарських рішень і оцінювання ризиків</w:t>
            </w:r>
            <w:r w:rsidR="001E2FBE">
              <w:rPr>
                <w:b/>
                <w:sz w:val="28"/>
                <w:szCs w:val="28"/>
                <w:u w:val="single"/>
                <w:lang w:val="uk-UA"/>
              </w:rPr>
              <w:t>»__</w:t>
            </w:r>
          </w:p>
          <w:p w:rsidR="006707E7" w:rsidRPr="005A3D8B" w:rsidRDefault="000C325B" w:rsidP="006707E7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 w:rsidR="006707E7" w:rsidRPr="005A3D8B"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8B3478" w:rsidRPr="000E5858" w:rsidRDefault="008B3478" w:rsidP="008B3478">
            <w:pPr>
              <w:jc w:val="center"/>
              <w:rPr>
                <w:sz w:val="28"/>
                <w:szCs w:val="28"/>
                <w:lang w:val="uk-UA"/>
              </w:rPr>
            </w:pPr>
            <w:r w:rsidRPr="000E5858">
              <w:rPr>
                <w:sz w:val="28"/>
                <w:szCs w:val="28"/>
                <w:lang w:val="uk-UA"/>
              </w:rPr>
              <w:t xml:space="preserve">Спеціальність: </w:t>
            </w:r>
            <w:r w:rsidR="005913A0">
              <w:rPr>
                <w:sz w:val="28"/>
                <w:szCs w:val="28"/>
                <w:lang w:val="uk-UA"/>
              </w:rPr>
              <w:t>0</w:t>
            </w:r>
            <w:r w:rsidR="00A01EDE">
              <w:rPr>
                <w:sz w:val="28"/>
                <w:szCs w:val="28"/>
                <w:lang w:val="uk-UA"/>
              </w:rPr>
              <w:t>76</w:t>
            </w:r>
            <w:r w:rsidRPr="000E5858">
              <w:rPr>
                <w:sz w:val="28"/>
                <w:szCs w:val="28"/>
                <w:lang w:val="uk-UA"/>
              </w:rPr>
              <w:t xml:space="preserve"> «</w:t>
            </w:r>
            <w:r w:rsidR="00A01EDE">
              <w:rPr>
                <w:sz w:val="28"/>
                <w:szCs w:val="28"/>
                <w:lang w:val="uk-UA"/>
              </w:rPr>
              <w:t>Підприємництво, торгівля та біржова діяльність</w:t>
            </w:r>
            <w:r w:rsidRPr="000E5858">
              <w:rPr>
                <w:sz w:val="28"/>
                <w:szCs w:val="28"/>
                <w:lang w:val="uk-UA"/>
              </w:rPr>
              <w:t>»</w:t>
            </w:r>
          </w:p>
          <w:p w:rsidR="006707E7" w:rsidRPr="005A3D8B" w:rsidRDefault="008B3478" w:rsidP="00C500A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E5858">
              <w:rPr>
                <w:sz w:val="28"/>
                <w:szCs w:val="28"/>
                <w:lang w:val="uk-UA"/>
              </w:rPr>
              <w:t>Освітній ступінь: «</w:t>
            </w:r>
            <w:r w:rsidR="000C325B">
              <w:rPr>
                <w:sz w:val="28"/>
                <w:szCs w:val="28"/>
                <w:lang w:val="uk-UA"/>
              </w:rPr>
              <w:t>бакалавр</w:t>
            </w:r>
            <w:r w:rsidRPr="000E5858">
              <w:rPr>
                <w:sz w:val="28"/>
                <w:szCs w:val="28"/>
                <w:lang w:val="uk-UA"/>
              </w:rPr>
              <w:t>»</w:t>
            </w:r>
            <w:r w:rsidR="00A01ED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902BE" w:rsidRPr="005A3D8B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07"/>
        <w:gridCol w:w="8921"/>
      </w:tblGrid>
      <w:tr w:rsidR="005A3D8B" w:rsidRPr="000C325B" w:rsidTr="000C325B">
        <w:tc>
          <w:tcPr>
            <w:tcW w:w="367" w:type="pct"/>
          </w:tcPr>
          <w:p w:rsidR="00CE4E29" w:rsidRPr="000C325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C325B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0C325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C325B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3" w:type="pct"/>
          </w:tcPr>
          <w:p w:rsidR="00CE4E29" w:rsidRPr="000C325B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C325B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0C325B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0C325B">
              <w:rPr>
                <w:rFonts w:ascii="TimesNewRoman" w:hAnsi="TimesNewRoman" w:cs="TimesNewRoman"/>
                <w:sz w:val="28"/>
                <w:szCs w:val="28"/>
                <w:lang w:val="uk-UA"/>
              </w:rPr>
              <w:t>Господарське рішення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Господарське рішення характеризують такі ознаки: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Сутність господарських рішень, яка проявляється як можливість забезпечення необхідними технічними, інформаційними ресурсами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сферою дії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ступенем невизначеності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прогнозованою ефективністю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способом прийняття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ступенем обов’язковості виконання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організацією розробки ГР класифікують так: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Економічна сутність господарського рішення полягає в тому, що: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Ефективне рішення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ГР «Акт»?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ГР «Акцепт»?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господарського рішення «Прес-реліз»?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ГР «Бюлетень»?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Основним параметром якості ГР 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Соціальна ефективність господарського рішення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Вид ефективності ГР, що реалізує потреби людини в коханні, сім’ї, вільному часі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Вид ефективності господарського рішення пов’язаний із реалізацією потреб людини в організації життя, безпеці, управлінні, стабільності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До прийнятого рішення пред’являються такі основні вимоги: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Етап «Постановка задачі розв’язання проблеми» передбачає виконання такої процедури: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widowControl w:val="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0C325B">
              <w:rPr>
                <w:color w:val="000000"/>
                <w:spacing w:val="2"/>
                <w:sz w:val="28"/>
                <w:szCs w:val="28"/>
                <w:lang w:val="uk-UA"/>
              </w:rPr>
              <w:t>Етап «Вибір рішення» передбачає виконання такої процедури: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План реалізації обраного рішення – це процедура, що відбувається на етапі: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прийняття рішень, що характеризується незначною терпимістю до двозначності та раціональним способом мислення, репрезентує: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прийняття рішень, для якого характерна висока терпимість до двозначності, доповнена раціональним способом мислення, репрезентує: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прийняття рішень, що характеризується дуже широким світоглядом і здатністю досліджувати численні альтернативи, репрезентує: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прийняття рішень, що характеризує індивіда, який мислить інтуїтивно, проте відзначається низькою терпимістю, репрезентує: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Особи з аналітичним способом мислення: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Особи з концептуальним способом мислення:</w:t>
            </w:r>
          </w:p>
        </w:tc>
      </w:tr>
      <w:tr w:rsidR="000C325B" w:rsidRPr="000C325B" w:rsidTr="000C325B">
        <w:trPr>
          <w:trHeight w:val="64"/>
        </w:trPr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Модель, яка ґрунтується на передбаченні, що рішення приймаються ще до того, як досліджуються альтернативи,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C325B">
              <w:rPr>
                <w:sz w:val="28"/>
                <w:szCs w:val="28"/>
                <w:shd w:val="clear" w:color="auto" w:fill="FFFFFF"/>
                <w:lang w:val="uk-UA"/>
              </w:rPr>
              <w:t>Репрезентувати багато різних компонентів складної проблеми, інструментів для передавання складних ідей іншим доцільно за допомогою: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Графічна репрезентація поточної інформації, ідей чи компонентів системи – це спосіб прийняття рішення: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Спосіб, при якому можна точно відобразити перебіг процесу – це спосіб прийняття рішення: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Спосіб, при якому використовують кольорові крапки для позначення пріоритетності рішень – це спосіб прийняття рішення: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Рішення, при якому людина виходить із власного відчуття того, що її вибір правильний,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Рішення, в основі якого лежить об’єктивний аналіз умов, в яких організація діє на даний момент і які будуть діяти у майбутньому,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Рішення, в основі якого лежать знання й осмислений досвід минулого,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Рішення може прийматись за таких умов: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Методи розробки рішень, що дають можливість визначити кращий варіант за критеріями оптимальності програми дій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Метод, при якому узагальнена думка експертів приймається як вирішення проблеми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Метод, при якому спираються на досвід прийняття рішень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Імітаційне моделювання реальних ситуацій, для виконання якого кожен учасник дістає певну роль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Метод, який передбачає багаторівневу процедуру анкетування з обробкою та повідомленням результатів кожного туру експертам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Метод, який призначений для генерування альтернатив через асоціативне мислення, пошук аналогій щодо поставленої задачі – це:</w:t>
            </w:r>
          </w:p>
        </w:tc>
      </w:tr>
      <w:tr w:rsidR="000C325B" w:rsidRPr="000C325B" w:rsidTr="000C325B">
        <w:trPr>
          <w:trHeight w:val="64"/>
        </w:trPr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На використанні інформації про минулий позитивний досвід організації (низки інших організацій) у певній сфері діяльності ґрунтуються: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«мозкової атаки» відноситься до: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Різновидом евристичних методів індивідуальної роботи 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lastRenderedPageBreak/>
              <w:t>48.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Цілеспрямована організація прийомів, способів і дій людини, що дає змогу розкласти складний об’єкт на складові, дослідити їх, а здобуті результати об’єднати за допомогою іншого логічного прийому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Спеціальний спосіб обґрунтування прийняття ГР, що є універсальною ефективною формою організації, розвитку та дослідження колективної розумової діяльності, методологічного мислення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Для узагальненої характеристики масових, якісно однорідних економічних явищ, показників, процесів використовуються: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 номінальної групи відноситься до: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Підкріплення переконливими доказами відповідності передбачуваного рішення заданим критеріям та реальним обмеженням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Розбиття певної проблеми на окремі складові елементи з наступним розглядом їх у цілому (у взаємозв’язку) – це принцип аналізу: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Принцип аналізу, що передбачає постановку цілей та визначення способів їх досягнення,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Методи прогнозування, що базуються на інформації, яку можна отримати, знаючи тенденції зміни параметрів, виділяють у групу: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Методи прогнозування, в основу яких покладено експертні оцінки фахівців у сфері прийнятих рішень, виділяють у групу: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ступенем ймовірності настання подій розрізняють: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Залежно від способів визначення ймовірності розрізняють невизначеність: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Залежно від об’єкта невизначеності розрізняють невизначеність: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Для прийняття рішення в умовах невизначеності вихідна інформація подається у вигляді:</w:t>
            </w:r>
          </w:p>
        </w:tc>
      </w:tr>
      <w:tr w:rsidR="000C325B" w:rsidRPr="000C325B" w:rsidTr="000C325B">
        <w:trPr>
          <w:trHeight w:val="64"/>
        </w:trPr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Матриця прибутків придатна для ситуації, коли кількість розглянутих альтернатив 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якою формулою за рівнем ймовірності настання подій можна розрахувати повну визначеність?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якою формулою за рівнем ймовірності настання подій можна розрахувати часткову невизначеність?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якою формулою за рівнем ймовірності настання подій можна розрахувати повну невизначеність?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Невизначеність як можливість відхилення результату від очікуваного (або середнього) значення, як в меншу, так і в більшу сторону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Невизначеність як можливість відхилення результату від очікуваного (або середнього) значення тільки в меншу сторону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Критерій песиміста, що орієнтується на кращий з гірших результатів, вважається фундаментальним критерієм Йдеться про: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0C325B">
              <w:rPr>
                <w:rFonts w:ascii="TimesNewRoman" w:hAnsi="TimesNewRoman" w:cs="TimesNewRoman"/>
                <w:sz w:val="28"/>
                <w:szCs w:val="28"/>
                <w:lang w:val="uk-UA"/>
              </w:rPr>
              <w:t>Це правило називають ще правилом оптимізму-песимізму Йдеться про: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Це правило відповідає оптимістичній наступальній стратегії Йдеться про: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Матриця ризику визначається у випадку використання критерію: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Використання тільки одного варіанта розвитку ситуації для кожної альтернативи в обґрунтуванні рішень – це недолік критеріїв: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lastRenderedPageBreak/>
              <w:t>72.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 xml:space="preserve">Невизначеність, пов’язана з неможливістю точного передбачення поведінки людини в процесі роботи через відмінності у рівні освіти, </w:t>
            </w:r>
            <w:proofErr w:type="spellStart"/>
            <w:r w:rsidRPr="000C325B">
              <w:rPr>
                <w:sz w:val="28"/>
                <w:szCs w:val="28"/>
                <w:lang w:val="uk-UA"/>
              </w:rPr>
              <w:t>емоційно</w:t>
            </w:r>
            <w:proofErr w:type="spellEnd"/>
            <w:r w:rsidRPr="000C325B">
              <w:rPr>
                <w:sz w:val="28"/>
                <w:szCs w:val="28"/>
                <w:lang w:val="uk-UA"/>
              </w:rPr>
              <w:t>-психологічному настрої, світогляді кожної особи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Невизначеність, пов’язана з надійністю обладнання, непередбаченістю виробничих процесів, складністю технології, рівнем автоматизації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Невизначеність, зумовлена прагненням людей створювати соціальні зв’язки та поводитися відповідно до загальноприйнятих норм, традицій, взятих на себе зобов’язань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Критерій, орієнтований на мінімізацію жалю з приводу втрат і допускає розумний ризик заради отримання додаткового прибутку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Ризик як суб’єктивний компонент …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Ризик як об’єктивний компонент …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масштабом об’єкта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Складові елементи факторів, які зумовлюють можливість втрат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Причини або рушійні сили, які породжують ризиковані процеси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тривалістю дії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ознакою реалізації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відповідністю допустимим межам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Залежно від можливого результату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природою виникнення розрізняють таки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За типом розрізняють такі види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Нижня ціна гри…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Верхня ціна гри…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 xml:space="preserve">Якщо платіжна матриця не має </w:t>
            </w:r>
            <w:proofErr w:type="spellStart"/>
            <w:r w:rsidRPr="000C325B">
              <w:rPr>
                <w:sz w:val="28"/>
                <w:szCs w:val="28"/>
                <w:lang w:val="uk-UA"/>
              </w:rPr>
              <w:t>сідлової</w:t>
            </w:r>
            <w:proofErr w:type="spellEnd"/>
            <w:r w:rsidRPr="000C325B">
              <w:rPr>
                <w:sz w:val="28"/>
                <w:szCs w:val="28"/>
                <w:lang w:val="uk-UA"/>
              </w:rPr>
              <w:t xml:space="preserve"> точки, то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Результат прийняття рішень в умовах невизначеності, пов'язаний з виробництвом продукції, їх реалізацією, підприємництвом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 xml:space="preserve">Згідно з правилом </w:t>
            </w:r>
            <w:proofErr w:type="spellStart"/>
            <w:r w:rsidRPr="000C325B">
              <w:rPr>
                <w:sz w:val="28"/>
                <w:szCs w:val="28"/>
                <w:lang w:val="uk-UA"/>
              </w:rPr>
              <w:t>Байєса</w:t>
            </w:r>
            <w:proofErr w:type="spellEnd"/>
            <w:r w:rsidRPr="000C325B">
              <w:rPr>
                <w:sz w:val="28"/>
                <w:szCs w:val="28"/>
                <w:lang w:val="uk-UA"/>
              </w:rPr>
              <w:t xml:space="preserve"> для прийняття рішення в умовах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Згідно з правилом Гурвіца для прийняття рішення в умовах ризику: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Згідно з теорією ігор операція відбракування явно невигідних стратегій називається: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До фінансових ризиків належать: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До виробничих ризиків належать: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До ризиків зовнішньоекономічної діяльності належать: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Демографічний ризик – це окремий випадок: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Ризик нанесення збитку зовнішньому середовищу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Система показників кількісної оцінки ризику включає:</w:t>
            </w:r>
          </w:p>
        </w:tc>
      </w:tr>
      <w:tr w:rsidR="000C325B" w:rsidRPr="000C325B" w:rsidTr="000C325B">
        <w:trPr>
          <w:trHeight w:val="64"/>
        </w:trPr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3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0C325B">
              <w:rPr>
                <w:sz w:val="28"/>
                <w:szCs w:val="28"/>
                <w:lang w:val="uk-UA"/>
              </w:rPr>
              <w:t>Показник, що вимірює результат, який в середньому очікується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Ймовірність появи втрат у разі реалізації цінних паперів або інших товарів через зміну оцінки їхньої якості та споживної вартості зумовлює: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Розсіювання значення випадкового параметра навколо його середнього значення, що прогнозується, характеризується: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Показник, що порівнює ризикованість напрямів діяльності і конкретних ситуацій за ознаками, вираженими у різних одиницях виміру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lastRenderedPageBreak/>
              <w:t>104.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Поріг рентабельності розраховується за формулою: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Точка беззбитковості розраховується за формулою: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Запас фінансової стійкості розраховується за формулою: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До переваг методу експертних оцінок кількісної оцінки підприємницьких ризиків відносять: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Ступінь задоволення особи від споживання товару чи виконання будь-якої дії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Умова, за якою корисність очікуваного доходу менша за очікувану корисність – це умова: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Взаємозв’язок ризику з функціями корисності визначається поняттям: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Інвестиційні рішення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Граничну величину ставки дисконту, вище якої проект стає збитковим, віддзеркалює такий показник, як: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Фінансові рішення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Показник, на основі якого перевага віддається проекту з більш високим NPV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Показник, який відображає граничну величину ставки дисконту, вище якої проект стає збитковим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Показник, що показує період, за який буде відшкодовано суму інвестицій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Найризикованішим портфелем 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Батьком сучасної «портфельної теорії», яка стосується методів збалансування ризиків та економічної вигоди під час вибору ризикованих інвестицій, є: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Статистична міра взаємодії двох випадкових змінних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Вартість портфеля – це: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Оскільки приплив коштів за інвестиційним проектом розподілений у часі, його аналіз здійснюється за допомогою: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Який повинен бути NPV, щоб було можна розглядати питання про прийняття проекту?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Інвестиційний проект слід відкинути, якщо: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Проект не збитковий, але й не принесе прибутку, якщо: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Максимально можливий прибуток досягається при структурі портфеля, ідентичного структурі ринкового обороту Така характеристика властива: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Показник, що показує, за якою ставкою відсотка інвестор повинен вкласти свій капітал, щоб ефективність фінансового вкладення дорівнювала ефективності даного інвестиційного проекту: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Середньозважена ціна капіталу підприємства (</w:t>
            </w:r>
            <w:proofErr w:type="spellStart"/>
            <w:r w:rsidRPr="00131A37">
              <w:rPr>
                <w:sz w:val="28"/>
                <w:szCs w:val="28"/>
                <w:lang w:val="uk-UA"/>
              </w:rPr>
              <w:t>Weighted</w:t>
            </w:r>
            <w:proofErr w:type="spellEnd"/>
            <w:r w:rsidRPr="00131A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1A37">
              <w:rPr>
                <w:sz w:val="28"/>
                <w:szCs w:val="28"/>
                <w:lang w:val="uk-UA"/>
              </w:rPr>
              <w:t>Average</w:t>
            </w:r>
            <w:proofErr w:type="spellEnd"/>
            <w:r w:rsidRPr="00131A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1A37">
              <w:rPr>
                <w:sz w:val="28"/>
                <w:szCs w:val="28"/>
                <w:lang w:val="uk-UA"/>
              </w:rPr>
              <w:t>Cost</w:t>
            </w:r>
            <w:proofErr w:type="spellEnd"/>
            <w:r w:rsidRPr="00131A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1A37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131A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1A37">
              <w:rPr>
                <w:sz w:val="28"/>
                <w:szCs w:val="28"/>
                <w:lang w:val="uk-UA"/>
              </w:rPr>
              <w:t>Capital</w:t>
            </w:r>
            <w:proofErr w:type="spellEnd"/>
            <w:r w:rsidRPr="00131A37">
              <w:rPr>
                <w:sz w:val="28"/>
                <w:szCs w:val="28"/>
                <w:lang w:val="uk-UA"/>
              </w:rPr>
              <w:t xml:space="preserve"> – WACС) характеризується як: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Відмова від ненадійних партнерів та відмова від прийняття ризикованих проектів є методом:</w:t>
            </w:r>
          </w:p>
        </w:tc>
      </w:tr>
      <w:tr w:rsidR="000C325B" w:rsidRPr="000C325B" w:rsidTr="000C325B">
        <w:tc>
          <w:tcPr>
            <w:tcW w:w="367" w:type="pct"/>
          </w:tcPr>
          <w:p w:rsidR="000C325B" w:rsidRPr="000C325B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C325B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33" w:type="pct"/>
          </w:tcPr>
          <w:p w:rsidR="000C325B" w:rsidRPr="00131A37" w:rsidRDefault="000C325B" w:rsidP="000C325B">
            <w:pPr>
              <w:rPr>
                <w:sz w:val="28"/>
                <w:szCs w:val="28"/>
                <w:lang w:val="uk-UA"/>
              </w:rPr>
            </w:pPr>
            <w:r w:rsidRPr="00131A37">
              <w:rPr>
                <w:sz w:val="28"/>
                <w:szCs w:val="28"/>
                <w:lang w:val="uk-UA"/>
              </w:rPr>
              <w:t>Створення спеціальних резервних фондів у натуральній або грошовій формі (фондів самострахування або фондів ризику) є методом:</w:t>
            </w:r>
          </w:p>
        </w:tc>
      </w:tr>
      <w:tr w:rsidR="000C325B" w:rsidRPr="003A57D9" w:rsidTr="000C325B">
        <w:tc>
          <w:tcPr>
            <w:tcW w:w="367" w:type="pct"/>
          </w:tcPr>
          <w:p w:rsidR="000C325B" w:rsidRPr="003A57D9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33" w:type="pct"/>
          </w:tcPr>
          <w:p w:rsidR="000C325B" w:rsidRPr="003A57D9" w:rsidRDefault="000C325B" w:rsidP="000C325B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Компенсація ризику можлива за допомогою таких методів, як:</w:t>
            </w:r>
          </w:p>
        </w:tc>
      </w:tr>
      <w:tr w:rsidR="000C325B" w:rsidRPr="003A57D9" w:rsidTr="000C325B">
        <w:tc>
          <w:tcPr>
            <w:tcW w:w="367" w:type="pct"/>
          </w:tcPr>
          <w:p w:rsidR="000C325B" w:rsidRPr="003A57D9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lastRenderedPageBreak/>
              <w:t>131.</w:t>
            </w:r>
          </w:p>
        </w:tc>
        <w:tc>
          <w:tcPr>
            <w:tcW w:w="4633" w:type="pct"/>
          </w:tcPr>
          <w:p w:rsidR="000C325B" w:rsidRPr="003A57D9" w:rsidRDefault="000C325B" w:rsidP="000C325B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Основний спосіб передбачення ризику полягає в:</w:t>
            </w:r>
          </w:p>
        </w:tc>
      </w:tr>
      <w:tr w:rsidR="000C325B" w:rsidRPr="003A57D9" w:rsidTr="000C325B">
        <w:tc>
          <w:tcPr>
            <w:tcW w:w="367" w:type="pct"/>
          </w:tcPr>
          <w:p w:rsidR="000C325B" w:rsidRPr="003A57D9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33" w:type="pct"/>
          </w:tcPr>
          <w:p w:rsidR="000C325B" w:rsidRPr="003A57D9" w:rsidRDefault="000C325B" w:rsidP="000C325B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Вид стратегії ризик-менеджменту, який реалізує формування суб’єктивних уявлень про майбутні події – це … вид стратегії</w:t>
            </w:r>
          </w:p>
        </w:tc>
      </w:tr>
      <w:tr w:rsidR="000C325B" w:rsidRPr="003A57D9" w:rsidTr="000C325B">
        <w:tc>
          <w:tcPr>
            <w:tcW w:w="367" w:type="pct"/>
          </w:tcPr>
          <w:p w:rsidR="000C325B" w:rsidRPr="003A57D9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33" w:type="pct"/>
          </w:tcPr>
          <w:p w:rsidR="000C325B" w:rsidRPr="003A57D9" w:rsidRDefault="000C325B" w:rsidP="000C325B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Використання критерію є доцільним тільки за умови достатньої фінансової стабільності підприємства Йдеться про: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33" w:type="pct"/>
          </w:tcPr>
          <w:p w:rsidR="005913A0" w:rsidRPr="003A57D9" w:rsidRDefault="00131A37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За умов катастрофічних збитків і низької ймовірності виникнення втрат доцільним є такий напрям зниження ризиків, як: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33" w:type="pct"/>
          </w:tcPr>
          <w:p w:rsidR="005913A0" w:rsidRPr="003A57D9" w:rsidRDefault="00131A37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Збір, систематизація, узагальнення фактів – це ... вид стратегії ризик-менеджменту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33" w:type="pct"/>
          </w:tcPr>
          <w:p w:rsidR="005913A0" w:rsidRPr="003A57D9" w:rsidRDefault="00131A37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 xml:space="preserve">Визначення практичних </w:t>
            </w:r>
            <w:proofErr w:type="spellStart"/>
            <w:r w:rsidRPr="003A57D9">
              <w:rPr>
                <w:sz w:val="28"/>
                <w:szCs w:val="28"/>
                <w:lang w:val="uk-UA"/>
              </w:rPr>
              <w:t>вигод</w:t>
            </w:r>
            <w:proofErr w:type="spellEnd"/>
            <w:r w:rsidRPr="003A57D9">
              <w:rPr>
                <w:sz w:val="28"/>
                <w:szCs w:val="28"/>
                <w:lang w:val="uk-UA"/>
              </w:rPr>
              <w:t xml:space="preserve"> та ймовірних негативних наслідків, які можуть мати місце при реалізації ризикового рішення – це складова:</w:t>
            </w:r>
          </w:p>
        </w:tc>
      </w:tr>
      <w:tr w:rsidR="00335BA4" w:rsidRPr="003A57D9" w:rsidTr="000C325B">
        <w:tc>
          <w:tcPr>
            <w:tcW w:w="367" w:type="pct"/>
          </w:tcPr>
          <w:p w:rsidR="00335BA4" w:rsidRPr="003A57D9" w:rsidRDefault="00335BA4" w:rsidP="00335BA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33" w:type="pct"/>
          </w:tcPr>
          <w:p w:rsidR="00335BA4" w:rsidRPr="003A57D9" w:rsidRDefault="00335BA4" w:rsidP="00335BA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Встановлення допустимого для конкретної ситуації рівня ризику – це складова:</w:t>
            </w:r>
          </w:p>
        </w:tc>
      </w:tr>
      <w:tr w:rsidR="00335BA4" w:rsidRPr="003A57D9" w:rsidTr="000C325B">
        <w:tc>
          <w:tcPr>
            <w:tcW w:w="367" w:type="pct"/>
          </w:tcPr>
          <w:p w:rsidR="00335BA4" w:rsidRPr="003A57D9" w:rsidRDefault="00335BA4" w:rsidP="00335BA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33" w:type="pct"/>
          </w:tcPr>
          <w:p w:rsidR="00335BA4" w:rsidRPr="003A57D9" w:rsidRDefault="00335BA4" w:rsidP="00335BA4">
            <w:pPr>
              <w:rPr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Відмова від ненадійних партнерів є складовою методу: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633" w:type="pct"/>
          </w:tcPr>
          <w:p w:rsidR="005913A0" w:rsidRPr="003A57D9" w:rsidRDefault="00335BA4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Диверсифікація є методом: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33" w:type="pct"/>
          </w:tcPr>
          <w:p w:rsidR="005913A0" w:rsidRPr="003A57D9" w:rsidRDefault="00335BA4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Вивчення поточної ситуації – це … вид стратегії ризик-менеджменту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33" w:type="pct"/>
          </w:tcPr>
          <w:p w:rsidR="005913A0" w:rsidRPr="003A57D9" w:rsidRDefault="00335BA4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Висування гіпотез та співставлення їх з фактичними даними – це … вид стратегії ризик-менеджменту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A57D9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A57D9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33" w:type="pct"/>
          </w:tcPr>
          <w:p w:rsidR="005913A0" w:rsidRPr="003A57D9" w:rsidRDefault="00B80C2B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A57D9">
              <w:rPr>
                <w:sz w:val="28"/>
                <w:szCs w:val="28"/>
                <w:lang w:val="uk-UA"/>
              </w:rPr>
              <w:t>Зовнішнє страхування чи розподіл ризику є доцільним за умови:</w:t>
            </w:r>
          </w:p>
        </w:tc>
      </w:tr>
      <w:tr w:rsidR="00625E05" w:rsidRPr="003A57D9" w:rsidTr="000C325B">
        <w:tc>
          <w:tcPr>
            <w:tcW w:w="367" w:type="pct"/>
          </w:tcPr>
          <w:p w:rsidR="00625E05" w:rsidRPr="003D10B5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33" w:type="pct"/>
          </w:tcPr>
          <w:p w:rsidR="00625E05" w:rsidRPr="003D10B5" w:rsidRDefault="00625E05" w:rsidP="00625E05">
            <w:pPr>
              <w:rPr>
                <w:sz w:val="28"/>
                <w:szCs w:val="28"/>
                <w:lang w:val="uk-UA"/>
              </w:rPr>
            </w:pPr>
            <w:r w:rsidRPr="003D10B5">
              <w:rPr>
                <w:sz w:val="28"/>
                <w:szCs w:val="28"/>
                <w:lang w:val="uk-UA"/>
              </w:rPr>
              <w:t>Рішення щодо проведення спільних робіт із зазначенням взаємних прав і зобов’язань у комерційних та некомерційних сферах діяльності – це:</w:t>
            </w:r>
          </w:p>
        </w:tc>
      </w:tr>
      <w:tr w:rsidR="00625E05" w:rsidRPr="003A57D9" w:rsidTr="000C325B">
        <w:tc>
          <w:tcPr>
            <w:tcW w:w="367" w:type="pct"/>
          </w:tcPr>
          <w:p w:rsidR="00625E05" w:rsidRPr="003D10B5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33" w:type="pct"/>
          </w:tcPr>
          <w:p w:rsidR="00625E05" w:rsidRPr="003D10B5" w:rsidRDefault="00625E05" w:rsidP="00625E05">
            <w:pPr>
              <w:rPr>
                <w:sz w:val="28"/>
                <w:szCs w:val="28"/>
                <w:lang w:val="uk-UA"/>
              </w:rPr>
            </w:pPr>
            <w:r w:rsidRPr="003D10B5">
              <w:rPr>
                <w:sz w:val="28"/>
                <w:szCs w:val="28"/>
                <w:lang w:val="uk-UA"/>
              </w:rPr>
              <w:t>Рішення державної влади, яке має загальнообов’язковий та незмінний характер – це:</w:t>
            </w:r>
          </w:p>
        </w:tc>
      </w:tr>
      <w:tr w:rsidR="00625E05" w:rsidRPr="003A57D9" w:rsidTr="000C325B">
        <w:tc>
          <w:tcPr>
            <w:tcW w:w="367" w:type="pct"/>
          </w:tcPr>
          <w:p w:rsidR="00625E05" w:rsidRPr="003D10B5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33" w:type="pct"/>
          </w:tcPr>
          <w:p w:rsidR="00625E05" w:rsidRPr="003D10B5" w:rsidRDefault="00625E05" w:rsidP="00625E05">
            <w:pPr>
              <w:rPr>
                <w:sz w:val="28"/>
                <w:szCs w:val="28"/>
                <w:lang w:val="uk-UA"/>
              </w:rPr>
            </w:pPr>
            <w:r w:rsidRPr="003D10B5">
              <w:rPr>
                <w:sz w:val="28"/>
                <w:szCs w:val="28"/>
                <w:lang w:val="uk-UA"/>
              </w:rPr>
              <w:t>Рішення, яке встановлює порядок та спосіб виконання будь-якої дії</w:t>
            </w:r>
          </w:p>
        </w:tc>
      </w:tr>
      <w:tr w:rsidR="00625E05" w:rsidRPr="003A57D9" w:rsidTr="000C325B">
        <w:tc>
          <w:tcPr>
            <w:tcW w:w="367" w:type="pct"/>
          </w:tcPr>
          <w:p w:rsidR="00625E05" w:rsidRPr="003D10B5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33" w:type="pct"/>
          </w:tcPr>
          <w:p w:rsidR="00625E05" w:rsidRPr="003D10B5" w:rsidRDefault="00625E05" w:rsidP="00625E0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sz w:val="28"/>
                <w:szCs w:val="28"/>
                <w:lang w:val="uk-UA"/>
              </w:rPr>
              <w:t>Збірка законів – це:</w:t>
            </w:r>
          </w:p>
        </w:tc>
      </w:tr>
      <w:tr w:rsidR="00625E05" w:rsidRPr="003A57D9" w:rsidTr="000C325B">
        <w:tc>
          <w:tcPr>
            <w:tcW w:w="367" w:type="pct"/>
          </w:tcPr>
          <w:p w:rsidR="00625E05" w:rsidRPr="003D10B5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33" w:type="pct"/>
          </w:tcPr>
          <w:p w:rsidR="00625E05" w:rsidRPr="003D10B5" w:rsidRDefault="00625E05" w:rsidP="00625E05">
            <w:pPr>
              <w:rPr>
                <w:sz w:val="28"/>
                <w:szCs w:val="28"/>
                <w:lang w:val="uk-UA"/>
              </w:rPr>
            </w:pPr>
            <w:r w:rsidRPr="003D10B5">
              <w:rPr>
                <w:sz w:val="28"/>
                <w:szCs w:val="28"/>
                <w:lang w:val="uk-UA"/>
              </w:rPr>
              <w:t>Рішення, яке відтворює реальні процеси чи події завдяки певним елементам і зв’язкам із визначеною точністю – це: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D10B5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33" w:type="pct"/>
          </w:tcPr>
          <w:p w:rsidR="005913A0" w:rsidRPr="003D10B5" w:rsidRDefault="00625E05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D10B5">
              <w:rPr>
                <w:sz w:val="28"/>
                <w:szCs w:val="28"/>
                <w:lang w:val="uk-UA"/>
              </w:rPr>
              <w:t>Система поглядів керівника, відображена в будь-якому документі – це:</w:t>
            </w:r>
          </w:p>
        </w:tc>
      </w:tr>
      <w:tr w:rsidR="005913A0" w:rsidRPr="003A57D9" w:rsidTr="000C325B">
        <w:tc>
          <w:tcPr>
            <w:tcW w:w="367" w:type="pct"/>
          </w:tcPr>
          <w:p w:rsidR="005913A0" w:rsidRPr="003D10B5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33" w:type="pct"/>
          </w:tcPr>
          <w:p w:rsidR="005913A0" w:rsidRPr="003D10B5" w:rsidRDefault="00625E05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D10B5">
              <w:rPr>
                <w:sz w:val="28"/>
                <w:szCs w:val="28"/>
                <w:lang w:val="uk-UA"/>
              </w:rPr>
              <w:t>Рішення керівника організації або її великого підрозділу; обов’язкове для виконання – це:</w:t>
            </w:r>
          </w:p>
        </w:tc>
      </w:tr>
      <w:tr w:rsidR="003A57D9" w:rsidRPr="003A57D9" w:rsidTr="000C325B">
        <w:trPr>
          <w:trHeight w:val="64"/>
        </w:trPr>
        <w:tc>
          <w:tcPr>
            <w:tcW w:w="367" w:type="pct"/>
          </w:tcPr>
          <w:p w:rsidR="003A57D9" w:rsidRPr="003D10B5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33" w:type="pct"/>
          </w:tcPr>
          <w:p w:rsidR="003A57D9" w:rsidRPr="003D10B5" w:rsidRDefault="003A57D9" w:rsidP="003A57D9">
            <w:pPr>
              <w:rPr>
                <w:sz w:val="28"/>
                <w:szCs w:val="28"/>
                <w:lang w:val="uk-UA"/>
              </w:rPr>
            </w:pPr>
            <w:r w:rsidRPr="003D10B5">
              <w:rPr>
                <w:sz w:val="28"/>
                <w:szCs w:val="28"/>
                <w:lang w:val="uk-UA"/>
              </w:rPr>
              <w:t>Рішення, яке відображає цілі та конкретні задачі діяльності, засоби, методи та час їх реалізації–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D10B5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33" w:type="pct"/>
          </w:tcPr>
          <w:p w:rsidR="003A57D9" w:rsidRPr="003D10B5" w:rsidRDefault="003A57D9" w:rsidP="003A57D9">
            <w:pPr>
              <w:rPr>
                <w:sz w:val="28"/>
                <w:szCs w:val="28"/>
                <w:lang w:val="uk-UA"/>
              </w:rPr>
            </w:pPr>
            <w:r w:rsidRPr="003D10B5">
              <w:rPr>
                <w:sz w:val="28"/>
                <w:szCs w:val="28"/>
                <w:lang w:val="uk-UA"/>
              </w:rPr>
              <w:t>Рішення, що включає певний набір законів, правил та інструкцій, які регламентують певний вид діяльності–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D10B5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4633" w:type="pct"/>
          </w:tcPr>
          <w:p w:rsidR="003A57D9" w:rsidRPr="003D10B5" w:rsidRDefault="003A57D9" w:rsidP="003A57D9">
            <w:pPr>
              <w:rPr>
                <w:sz w:val="28"/>
                <w:szCs w:val="28"/>
                <w:lang w:val="uk-UA"/>
              </w:rPr>
            </w:pPr>
            <w:r w:rsidRPr="003D10B5">
              <w:rPr>
                <w:sz w:val="28"/>
                <w:szCs w:val="28"/>
                <w:lang w:val="uk-UA"/>
              </w:rPr>
              <w:t>Документ щодо доцільної розстановки об’єктів для раціональної діяльності–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D10B5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33" w:type="pct"/>
          </w:tcPr>
          <w:p w:rsidR="003A57D9" w:rsidRPr="003D10B5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sz w:val="28"/>
                <w:szCs w:val="28"/>
                <w:lang w:val="uk-UA"/>
              </w:rPr>
              <w:t>Колективне або індивідуальне рішення вищого органу влади для будь-якої організації; статус постанови переважає статус наказу–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D10B5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33" w:type="pct"/>
          </w:tcPr>
          <w:p w:rsidR="003A57D9" w:rsidRPr="003D10B5" w:rsidRDefault="003A57D9" w:rsidP="003A57D9">
            <w:pPr>
              <w:rPr>
                <w:sz w:val="28"/>
                <w:szCs w:val="28"/>
                <w:lang w:val="uk-UA"/>
              </w:rPr>
            </w:pPr>
            <w:r w:rsidRPr="003D10B5">
              <w:rPr>
                <w:sz w:val="28"/>
                <w:szCs w:val="28"/>
                <w:lang w:val="uk-UA"/>
              </w:rPr>
              <w:t>Рішення, з урахуванням традицій організації, у формі набору сталих норм поведінки й діяльності певних груп працівників–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D10B5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33" w:type="pct"/>
          </w:tcPr>
          <w:p w:rsidR="003A57D9" w:rsidRPr="003D10B5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sz w:val="28"/>
                <w:szCs w:val="28"/>
                <w:lang w:val="uk-UA"/>
              </w:rPr>
              <w:t>Довідник, який включає ціни, тарифи на товари, послуги–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D10B5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33" w:type="pct"/>
          </w:tcPr>
          <w:p w:rsidR="003A57D9" w:rsidRPr="003D10B5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sz w:val="28"/>
                <w:szCs w:val="28"/>
                <w:lang w:val="uk-UA"/>
              </w:rPr>
              <w:t>Рішення, що відображають будь-які події–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D10B5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4633" w:type="pct"/>
          </w:tcPr>
          <w:p w:rsidR="003A57D9" w:rsidRPr="003D10B5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sz w:val="28"/>
                <w:szCs w:val="28"/>
                <w:lang w:val="uk-UA"/>
              </w:rPr>
              <w:t>Рішення керівника, не наділеного адміністративними функціями щодо питань технології, організації праці та техніки безпеки–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D10B5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lastRenderedPageBreak/>
              <w:t>158.</w:t>
            </w:r>
          </w:p>
        </w:tc>
        <w:tc>
          <w:tcPr>
            <w:tcW w:w="4633" w:type="pct"/>
          </w:tcPr>
          <w:p w:rsidR="003A57D9" w:rsidRPr="003D10B5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sz w:val="28"/>
                <w:szCs w:val="28"/>
                <w:lang w:val="uk-UA"/>
              </w:rPr>
              <w:t>Набір правил, які регулюють діяльність організацій–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D10B5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4633" w:type="pct"/>
          </w:tcPr>
          <w:p w:rsidR="003A57D9" w:rsidRPr="003D10B5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sz w:val="28"/>
                <w:szCs w:val="28"/>
                <w:lang w:val="uk-UA"/>
              </w:rPr>
              <w:t>Рішення, що формує загальну позитивну інфраструктуру будь-якої діяльності– це:</w:t>
            </w:r>
          </w:p>
        </w:tc>
      </w:tr>
      <w:tr w:rsidR="003A57D9" w:rsidRPr="003A57D9" w:rsidTr="000C325B">
        <w:tc>
          <w:tcPr>
            <w:tcW w:w="367" w:type="pct"/>
          </w:tcPr>
          <w:p w:rsidR="003A57D9" w:rsidRPr="003D10B5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4633" w:type="pct"/>
          </w:tcPr>
          <w:p w:rsidR="003A57D9" w:rsidRPr="003D10B5" w:rsidRDefault="003A57D9" w:rsidP="003A57D9">
            <w:pPr>
              <w:rPr>
                <w:sz w:val="28"/>
                <w:szCs w:val="28"/>
                <w:lang w:val="uk-UA"/>
              </w:rPr>
            </w:pPr>
            <w:r w:rsidRPr="003D10B5">
              <w:rPr>
                <w:sz w:val="28"/>
                <w:szCs w:val="28"/>
                <w:lang w:val="uk-UA"/>
              </w:rPr>
              <w:t>Рішення глави держави, затверджене парламентом; має силу закону– це: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Сукупність заходів організаційного, технологічного, економічного, правового та соціального характеру, які спрямовані на формування господарського рішення, – це: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Принцип Курно застосовується: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Метод «</w:t>
            </w:r>
            <w:proofErr w:type="spellStart"/>
            <w:r w:rsidRPr="003D10B5">
              <w:rPr>
                <w:bCs/>
                <w:sz w:val="28"/>
                <w:szCs w:val="28"/>
                <w:lang w:val="uk-UA"/>
              </w:rPr>
              <w:t>Рингі</w:t>
            </w:r>
            <w:proofErr w:type="spellEnd"/>
            <w:r w:rsidRPr="003D10B5">
              <w:rPr>
                <w:bCs/>
                <w:sz w:val="28"/>
                <w:szCs w:val="28"/>
                <w:lang w:val="uk-UA"/>
              </w:rPr>
              <w:t>» – це: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Колективними методами експертної оцінки є: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На використанні інформації про минулий позитивний досвід організації (низки інших організацій) у певній сфері діяльності ґрунтуються: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Аналітичні методи – це: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Експертний метод реалізації господарських рішень ефективно використовується за умови, коли: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Процес мозкового штурму проходить ряд послідовних етапів: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За характером постановки питань і формою відповідей, виділяють такий вид експертних оцінок: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До якісних методів розробки господарських рішень належить: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Під ефективністю господарського рішення розуміють: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До груп критеріїв оцінювання господарських рішень належать: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 xml:space="preserve">Шкала </w:t>
            </w:r>
            <w:proofErr w:type="spellStart"/>
            <w:r w:rsidRPr="003D10B5">
              <w:rPr>
                <w:bCs/>
                <w:sz w:val="28"/>
                <w:szCs w:val="28"/>
                <w:lang w:val="uk-UA"/>
              </w:rPr>
              <w:t>Лайкерта</w:t>
            </w:r>
            <w:proofErr w:type="spellEnd"/>
            <w:r w:rsidRPr="003D10B5">
              <w:rPr>
                <w:bCs/>
                <w:sz w:val="28"/>
                <w:szCs w:val="28"/>
                <w:lang w:val="uk-UA"/>
              </w:rPr>
              <w:t xml:space="preserve"> – це метод: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Концепція математичного вибору рішень – це: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Представники нормативного підходу концентрують увагу на: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В основі якого методу лежить поведінкова теорія прийняття рішень, яка носить яскраво виражений пояснювальний характер рішення?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Найпоширенішими підходами до оцінки ефективності управління є: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До критеріїв короткотермінової ефективності належить: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Такі фактори як зовнішні умови, технологія, вибір стратегії, структура, процеси, культура впливають на: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Умовами ефективного контролю управлінських рішень є: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Метод, у якому використаються як досвід, накопичений у минулому, так і поточні допущення відносно майбутнього щодо його визначення – це: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Отримання науково обґрунтованих варіантів тенденцій розвитку (зміни) керованого об’єкта (показників його стану) в часі і просторі – це: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Які прогнози дають можливість, використовуючи багато галузей знань, передбачити, що станеться у складних ситуаціях?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Каузальні та не каузальні методи прогнозування належать до прогнозів: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Кількісні методи прогнозування базуються на: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Для прогнозування в практичній діяльності застосовують методи: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Виявлення закономірних тенденцій у розвитку керованого об’єкта, встановлення стану прогнозованого об’єкта в сьогоденні і майбутньому, вираховування щодо розробки стратегічних рішень – це прогноз: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lastRenderedPageBreak/>
              <w:t>188.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Дослідження впливу чинників на різних етапах досягнення мети організації, формулювання гіпотези взаємовпливу різних факторів на об’єкт прогнозування і визначення ймовірнісних термінів досягнення проміжних цілей щодо досягнення головної – це прогноз: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Метод ланцюгових підстановок полягає у: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До основних вимог, що ставляться до прогнозів, відносять: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Неповноцінність чи неточність інформації про умови підготовки та реалізації господарських рішень, у тому числі зв’язані з ними витрати і результати – це:</w:t>
            </w:r>
          </w:p>
        </w:tc>
      </w:tr>
      <w:tr w:rsidR="00433087" w:rsidRPr="005913A0" w:rsidTr="00C500AE">
        <w:trPr>
          <w:trHeight w:val="64"/>
        </w:trPr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Показником стійкості розробленого проекту (програми) є: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За ступенем імовірності настання подій розрізняють такі типи невизначеності: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Соціальна невизначеність пов’язана з: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У якому випадку ймовірність настання подій визначають через відносну частоту?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196.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До причин виникнення невизначеності належить: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Зміни природи, зміни виробництва, зміна людської природи, – це: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Недостатні дані про зміни природи, виробництва, людини, перешкоди в процесі їх перетворення в інформацію, обмежені можливості її трансформації в знання – це: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До факторів глобального масштабу належать: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Графічне зображення залежності імовірності втрат від їхнього рівня, що показує, наскільки ймовірне їх виникнення, – це: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Ставлення людей до ризику враховує теорія: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202.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Додаткове задоволення, яке одержує особа від споживання додаткової кількості товару, називається: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203.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Від наявної кількості певного блага (запасу) та від інтенсивності потреби в ньому залежить: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204.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Раціональну поведінку людей в умовах ризику досліджували: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205.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 xml:space="preserve">Різниця між очікуваним </w:t>
            </w:r>
            <w:proofErr w:type="spellStart"/>
            <w:r w:rsidRPr="003D10B5">
              <w:rPr>
                <w:bCs/>
                <w:sz w:val="28"/>
                <w:szCs w:val="28"/>
                <w:lang w:val="uk-UA"/>
              </w:rPr>
              <w:t>виграшем</w:t>
            </w:r>
            <w:proofErr w:type="spellEnd"/>
            <w:r w:rsidRPr="003D10B5">
              <w:rPr>
                <w:bCs/>
                <w:sz w:val="28"/>
                <w:szCs w:val="28"/>
                <w:lang w:val="uk-UA"/>
              </w:rPr>
              <w:t xml:space="preserve"> і детермінованим еквівалентом лотереї – це: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206.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Сума, яку особа згодна уступити, щоб уникнути ризику, пов’язаного з лотереєю, називається: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207.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Функція корисності – це: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208.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Особу, що приймає рішення, називають схильною до ризику, якщо: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209.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Особа, для якої пріоритетним є одержання гарантованого виграшу порівняно з участю в лотереї, є: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210.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Якщо для особи пріоритетним є участь у лотереї, вона до ризику: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211.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Необхідність заздалегідь передбачати можливі наслідки ризику – це: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212.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Коефіцієнт ризику характеризує: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213.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Коефіцієнт ризику вважається оптимальним, коли: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214.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Ситуація банкрутства виникає у тому випадку, коли: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215.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Правило «розумного ризику» засновано на принципі % успіху : % сумнівів: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lastRenderedPageBreak/>
              <w:t>216.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3D10B5">
              <w:rPr>
                <w:bCs/>
                <w:sz w:val="28"/>
                <w:szCs w:val="28"/>
                <w:lang w:val="uk-UA"/>
              </w:rPr>
              <w:t>Черчмена-Акофа</w:t>
            </w:r>
            <w:proofErr w:type="spellEnd"/>
            <w:r w:rsidRPr="003D10B5">
              <w:rPr>
                <w:bCs/>
                <w:sz w:val="28"/>
                <w:szCs w:val="28"/>
                <w:lang w:val="uk-UA"/>
              </w:rPr>
              <w:t xml:space="preserve"> як метод, що застосовуються під час порівняння та відбору розроблених варіантів рішень клієнтських проблем, використовується:</w:t>
            </w:r>
          </w:p>
        </w:tc>
      </w:tr>
      <w:tr w:rsidR="00433087" w:rsidRPr="005913A0" w:rsidTr="00C500AE">
        <w:trPr>
          <w:trHeight w:val="155"/>
        </w:trPr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217.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Оцінка варіантів здійснюється на основі аналізу найбільш і найменш переважного варіанта та завершується, коли визначається порівняльна перевага всіх показників експертизи альтернативних варіантів, – це метод: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218.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Моделювання вибору рішень в умовах ризику здійснюється за допомогою методу: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219.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Який з показників включає метод побудови «дерева рішень»?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220.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Компоненти графіку «дерева рішень» включають: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221.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Зіткнення протилежних інтересів учасників призводить до виникнення: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222.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Теорія ігор – це: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223.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Теорія гри ефективно реалізується за умови, що: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224.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Передбачення результатів стратегічних, оперативних ігор, коли учасники не мають повної інформації про наміри один одного, – це: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225.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У теорії ігор особистий хід – це: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226.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Аспект, пов’язаний з виявленням впливу рішень, які приймаються в умовах невизначеності та конфліктності, на інтереси суб'єктів господарювання, притаманний</w:t>
            </w:r>
            <w:r w:rsidRPr="003D10B5">
              <w:rPr>
                <w:sz w:val="28"/>
                <w:szCs w:val="28"/>
                <w:lang w:val="uk-UA"/>
              </w:rPr>
              <w:t>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227.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Який метод полягає в генерації якомога більшої кількості варіантів вирішення проблеми, в тому числі і найнеймовірніших, а далі, з усіх придуманих варіантів відбираються ті, які можуть бути реалізовані на ділі?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228.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Якісний аналіз ризику дає можливість: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229.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Етапами методу мозкового штурму є: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230.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Який метод якісної оцінки ризику передбачає визначення видів ризику і граничного рівня його припустимої величини?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231.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До групи евристичних методів аналізу ризику належать: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232.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Випадкова величина – це: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233.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Частка числа і сходів (наслідків), сприятливих даній події в загальному числі можливих рівно імовірних результатів (наслідків) – це: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234.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Який із показників кількісної оцінки ризику є відносною величиною?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235.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Коефіцієнт варіації визначається як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236.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Якщо коефіцієнт варіації знаходиться в межах від 10 % до 25 %, то це коливання: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237.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До втрат у виробничому процесі належить: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238.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Сплата підвищених відрахувань і податків, якщо в процесі здійснення бізнес-плану ставки відрахувань і податків зміняться в несприятливу для підприємця сторону належить до втрат: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t>239.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Графічне зображення ряду у вигляді неперервної лінії зміни частот у варіаційному ряді, який функціонально пов’язаний зі зміною варіанту (значень ознаки), – це:</w:t>
            </w:r>
          </w:p>
        </w:tc>
      </w:tr>
      <w:tr w:rsidR="00433087" w:rsidRPr="005913A0" w:rsidTr="00C500AE">
        <w:tc>
          <w:tcPr>
            <w:tcW w:w="367" w:type="pct"/>
          </w:tcPr>
          <w:p w:rsidR="00433087" w:rsidRPr="003D10B5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D10B5">
              <w:rPr>
                <w:sz w:val="28"/>
                <w:szCs w:val="28"/>
                <w:lang w:val="uk-UA"/>
              </w:rPr>
              <w:lastRenderedPageBreak/>
              <w:t>240.</w:t>
            </w:r>
          </w:p>
        </w:tc>
        <w:tc>
          <w:tcPr>
            <w:tcW w:w="4633" w:type="pct"/>
          </w:tcPr>
          <w:p w:rsidR="00433087" w:rsidRPr="003D10B5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D10B5">
              <w:rPr>
                <w:bCs/>
                <w:sz w:val="28"/>
                <w:szCs w:val="28"/>
                <w:lang w:val="uk-UA"/>
              </w:rPr>
              <w:t>Сукупність логічних прийомів і методологічних правил теоретичного дослідження і відшукання істини – це:</w:t>
            </w:r>
          </w:p>
        </w:tc>
      </w:tr>
    </w:tbl>
    <w:p w:rsidR="005902BE" w:rsidRPr="005A3D8B" w:rsidRDefault="005902BE">
      <w:pPr>
        <w:rPr>
          <w:sz w:val="28"/>
          <w:szCs w:val="28"/>
          <w:lang w:val="uk-UA"/>
        </w:rPr>
      </w:pPr>
      <w:bookmarkStart w:id="0" w:name="_GoBack"/>
      <w:bookmarkEnd w:id="0"/>
    </w:p>
    <w:sectPr w:rsidR="005902BE" w:rsidRPr="005A3D8B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05A8"/>
    <w:multiLevelType w:val="hybridMultilevel"/>
    <w:tmpl w:val="5E1E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BE"/>
    <w:rsid w:val="00000368"/>
    <w:rsid w:val="00002278"/>
    <w:rsid w:val="0001233D"/>
    <w:rsid w:val="000159E5"/>
    <w:rsid w:val="00020273"/>
    <w:rsid w:val="00023887"/>
    <w:rsid w:val="00024467"/>
    <w:rsid w:val="00040446"/>
    <w:rsid w:val="00044551"/>
    <w:rsid w:val="0004477C"/>
    <w:rsid w:val="00044FD2"/>
    <w:rsid w:val="00045126"/>
    <w:rsid w:val="000468C4"/>
    <w:rsid w:val="0004740C"/>
    <w:rsid w:val="00054D4C"/>
    <w:rsid w:val="000576FD"/>
    <w:rsid w:val="00064BB4"/>
    <w:rsid w:val="00066BF2"/>
    <w:rsid w:val="00072EFC"/>
    <w:rsid w:val="00076D7D"/>
    <w:rsid w:val="00087643"/>
    <w:rsid w:val="00090365"/>
    <w:rsid w:val="00090A7B"/>
    <w:rsid w:val="000A0EEB"/>
    <w:rsid w:val="000A183B"/>
    <w:rsid w:val="000A65DC"/>
    <w:rsid w:val="000B31BC"/>
    <w:rsid w:val="000C325B"/>
    <w:rsid w:val="000C49CC"/>
    <w:rsid w:val="000C5092"/>
    <w:rsid w:val="000C665C"/>
    <w:rsid w:val="000C6FD8"/>
    <w:rsid w:val="000D10B9"/>
    <w:rsid w:val="000D48DC"/>
    <w:rsid w:val="000E09EF"/>
    <w:rsid w:val="000E25FD"/>
    <w:rsid w:val="000E2D43"/>
    <w:rsid w:val="000E49D9"/>
    <w:rsid w:val="000E5858"/>
    <w:rsid w:val="000F39C6"/>
    <w:rsid w:val="000F4029"/>
    <w:rsid w:val="000F5932"/>
    <w:rsid w:val="001136A1"/>
    <w:rsid w:val="001243E7"/>
    <w:rsid w:val="001256AE"/>
    <w:rsid w:val="0012697D"/>
    <w:rsid w:val="00127D17"/>
    <w:rsid w:val="00131A37"/>
    <w:rsid w:val="001419D8"/>
    <w:rsid w:val="00141BF6"/>
    <w:rsid w:val="001433DC"/>
    <w:rsid w:val="001441EC"/>
    <w:rsid w:val="00146D78"/>
    <w:rsid w:val="0016532B"/>
    <w:rsid w:val="00165890"/>
    <w:rsid w:val="00166C27"/>
    <w:rsid w:val="001747FA"/>
    <w:rsid w:val="00180E1B"/>
    <w:rsid w:val="00183797"/>
    <w:rsid w:val="001855AE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D7983"/>
    <w:rsid w:val="001E17AA"/>
    <w:rsid w:val="001E2FBE"/>
    <w:rsid w:val="001E3FCA"/>
    <w:rsid w:val="001F13EA"/>
    <w:rsid w:val="001F1D55"/>
    <w:rsid w:val="001F6546"/>
    <w:rsid w:val="00201C42"/>
    <w:rsid w:val="00203124"/>
    <w:rsid w:val="00221322"/>
    <w:rsid w:val="0022417C"/>
    <w:rsid w:val="00242E28"/>
    <w:rsid w:val="002453EE"/>
    <w:rsid w:val="002466E1"/>
    <w:rsid w:val="00263CCD"/>
    <w:rsid w:val="00272006"/>
    <w:rsid w:val="00274F67"/>
    <w:rsid w:val="00276BFB"/>
    <w:rsid w:val="00280D4A"/>
    <w:rsid w:val="00284DE9"/>
    <w:rsid w:val="00291178"/>
    <w:rsid w:val="002A2A02"/>
    <w:rsid w:val="002A3B8C"/>
    <w:rsid w:val="002A4B01"/>
    <w:rsid w:val="002B02A4"/>
    <w:rsid w:val="002B5866"/>
    <w:rsid w:val="002C2724"/>
    <w:rsid w:val="002C29AD"/>
    <w:rsid w:val="002D5BA9"/>
    <w:rsid w:val="002E141D"/>
    <w:rsid w:val="002E2516"/>
    <w:rsid w:val="002F2395"/>
    <w:rsid w:val="002F582F"/>
    <w:rsid w:val="002F6AC3"/>
    <w:rsid w:val="002F6C6A"/>
    <w:rsid w:val="00303DB2"/>
    <w:rsid w:val="00304DA1"/>
    <w:rsid w:val="00307D87"/>
    <w:rsid w:val="003126FF"/>
    <w:rsid w:val="003136DD"/>
    <w:rsid w:val="003242F9"/>
    <w:rsid w:val="00335BA4"/>
    <w:rsid w:val="0033767A"/>
    <w:rsid w:val="00337949"/>
    <w:rsid w:val="003465EB"/>
    <w:rsid w:val="0035373B"/>
    <w:rsid w:val="00354048"/>
    <w:rsid w:val="00361D92"/>
    <w:rsid w:val="00363005"/>
    <w:rsid w:val="00364544"/>
    <w:rsid w:val="0037557F"/>
    <w:rsid w:val="00394436"/>
    <w:rsid w:val="003A57D9"/>
    <w:rsid w:val="003A6971"/>
    <w:rsid w:val="003C2348"/>
    <w:rsid w:val="003C5033"/>
    <w:rsid w:val="003C68D0"/>
    <w:rsid w:val="003D10B5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0F34"/>
    <w:rsid w:val="0042311E"/>
    <w:rsid w:val="004278A2"/>
    <w:rsid w:val="00433087"/>
    <w:rsid w:val="00435142"/>
    <w:rsid w:val="004526DA"/>
    <w:rsid w:val="00453666"/>
    <w:rsid w:val="0045582C"/>
    <w:rsid w:val="00456613"/>
    <w:rsid w:val="00461CED"/>
    <w:rsid w:val="00464303"/>
    <w:rsid w:val="00466DA8"/>
    <w:rsid w:val="00470F3C"/>
    <w:rsid w:val="00474382"/>
    <w:rsid w:val="0047559E"/>
    <w:rsid w:val="00476B03"/>
    <w:rsid w:val="00485D0A"/>
    <w:rsid w:val="004A170D"/>
    <w:rsid w:val="004A4CF8"/>
    <w:rsid w:val="004A6635"/>
    <w:rsid w:val="004B2413"/>
    <w:rsid w:val="004B510E"/>
    <w:rsid w:val="004C07B1"/>
    <w:rsid w:val="004D7368"/>
    <w:rsid w:val="004E0C92"/>
    <w:rsid w:val="004F4FD5"/>
    <w:rsid w:val="004F6552"/>
    <w:rsid w:val="00504F42"/>
    <w:rsid w:val="0051418B"/>
    <w:rsid w:val="005238B1"/>
    <w:rsid w:val="00524A94"/>
    <w:rsid w:val="005259EC"/>
    <w:rsid w:val="00531C43"/>
    <w:rsid w:val="00553502"/>
    <w:rsid w:val="00553B52"/>
    <w:rsid w:val="00555B60"/>
    <w:rsid w:val="00562D45"/>
    <w:rsid w:val="005655C5"/>
    <w:rsid w:val="00567928"/>
    <w:rsid w:val="0057272E"/>
    <w:rsid w:val="005741A3"/>
    <w:rsid w:val="0057548F"/>
    <w:rsid w:val="0057653F"/>
    <w:rsid w:val="00582894"/>
    <w:rsid w:val="00582AFC"/>
    <w:rsid w:val="00583F5C"/>
    <w:rsid w:val="005902BE"/>
    <w:rsid w:val="005913A0"/>
    <w:rsid w:val="00593F8D"/>
    <w:rsid w:val="00596769"/>
    <w:rsid w:val="00596937"/>
    <w:rsid w:val="005A3D8B"/>
    <w:rsid w:val="005A6677"/>
    <w:rsid w:val="005B14F1"/>
    <w:rsid w:val="005B2913"/>
    <w:rsid w:val="005B7FD5"/>
    <w:rsid w:val="005C0335"/>
    <w:rsid w:val="005C22AD"/>
    <w:rsid w:val="005C348C"/>
    <w:rsid w:val="005D56D0"/>
    <w:rsid w:val="005D7ACA"/>
    <w:rsid w:val="005E1A47"/>
    <w:rsid w:val="005E565E"/>
    <w:rsid w:val="005E77CF"/>
    <w:rsid w:val="005F1806"/>
    <w:rsid w:val="005F3F87"/>
    <w:rsid w:val="0060006E"/>
    <w:rsid w:val="00600B6B"/>
    <w:rsid w:val="00604B3B"/>
    <w:rsid w:val="0060502E"/>
    <w:rsid w:val="006126F7"/>
    <w:rsid w:val="006139FA"/>
    <w:rsid w:val="00616387"/>
    <w:rsid w:val="006215B8"/>
    <w:rsid w:val="006234F8"/>
    <w:rsid w:val="0062450E"/>
    <w:rsid w:val="00625E05"/>
    <w:rsid w:val="006313EC"/>
    <w:rsid w:val="00631ED4"/>
    <w:rsid w:val="00633F1F"/>
    <w:rsid w:val="00637A65"/>
    <w:rsid w:val="00643069"/>
    <w:rsid w:val="00644F9D"/>
    <w:rsid w:val="00651EDA"/>
    <w:rsid w:val="00653249"/>
    <w:rsid w:val="00661044"/>
    <w:rsid w:val="00666BE8"/>
    <w:rsid w:val="006707E7"/>
    <w:rsid w:val="006717C6"/>
    <w:rsid w:val="006729A2"/>
    <w:rsid w:val="006760CC"/>
    <w:rsid w:val="0068209B"/>
    <w:rsid w:val="00691A34"/>
    <w:rsid w:val="0069252B"/>
    <w:rsid w:val="006A493E"/>
    <w:rsid w:val="006B0322"/>
    <w:rsid w:val="006B486B"/>
    <w:rsid w:val="006B5F21"/>
    <w:rsid w:val="006B6727"/>
    <w:rsid w:val="006C0DA2"/>
    <w:rsid w:val="006C33C3"/>
    <w:rsid w:val="006C6FCA"/>
    <w:rsid w:val="006D5359"/>
    <w:rsid w:val="006D5C45"/>
    <w:rsid w:val="006E1954"/>
    <w:rsid w:val="006E52C6"/>
    <w:rsid w:val="006E56B7"/>
    <w:rsid w:val="006E6195"/>
    <w:rsid w:val="006E6734"/>
    <w:rsid w:val="006F3026"/>
    <w:rsid w:val="006F77E3"/>
    <w:rsid w:val="00705C6D"/>
    <w:rsid w:val="00706B13"/>
    <w:rsid w:val="007159F0"/>
    <w:rsid w:val="007306B0"/>
    <w:rsid w:val="00732589"/>
    <w:rsid w:val="0073516F"/>
    <w:rsid w:val="00740630"/>
    <w:rsid w:val="00741E15"/>
    <w:rsid w:val="00746638"/>
    <w:rsid w:val="00765694"/>
    <w:rsid w:val="0076707E"/>
    <w:rsid w:val="0077193D"/>
    <w:rsid w:val="00777CE3"/>
    <w:rsid w:val="00782CC0"/>
    <w:rsid w:val="00783327"/>
    <w:rsid w:val="00786F2B"/>
    <w:rsid w:val="00791D83"/>
    <w:rsid w:val="007972ED"/>
    <w:rsid w:val="007A1E5D"/>
    <w:rsid w:val="007A623E"/>
    <w:rsid w:val="007A7401"/>
    <w:rsid w:val="007B4A25"/>
    <w:rsid w:val="007B5866"/>
    <w:rsid w:val="007B7891"/>
    <w:rsid w:val="007C250E"/>
    <w:rsid w:val="007C7091"/>
    <w:rsid w:val="007D04DC"/>
    <w:rsid w:val="007D492D"/>
    <w:rsid w:val="007E436C"/>
    <w:rsid w:val="007E6B94"/>
    <w:rsid w:val="007F4152"/>
    <w:rsid w:val="00803D89"/>
    <w:rsid w:val="008053A5"/>
    <w:rsid w:val="00805F6B"/>
    <w:rsid w:val="008105CA"/>
    <w:rsid w:val="008204F6"/>
    <w:rsid w:val="00820B89"/>
    <w:rsid w:val="008258F1"/>
    <w:rsid w:val="00844AF1"/>
    <w:rsid w:val="008452AC"/>
    <w:rsid w:val="008468BF"/>
    <w:rsid w:val="00847E5A"/>
    <w:rsid w:val="00852855"/>
    <w:rsid w:val="00853690"/>
    <w:rsid w:val="00855C3E"/>
    <w:rsid w:val="00871B0D"/>
    <w:rsid w:val="00872AE1"/>
    <w:rsid w:val="00883121"/>
    <w:rsid w:val="0088402F"/>
    <w:rsid w:val="008861E7"/>
    <w:rsid w:val="00897F75"/>
    <w:rsid w:val="008A0A7A"/>
    <w:rsid w:val="008A47F6"/>
    <w:rsid w:val="008A614C"/>
    <w:rsid w:val="008B3478"/>
    <w:rsid w:val="008C0953"/>
    <w:rsid w:val="008C1E18"/>
    <w:rsid w:val="008C4A58"/>
    <w:rsid w:val="008C5E86"/>
    <w:rsid w:val="008C7CC3"/>
    <w:rsid w:val="008D6256"/>
    <w:rsid w:val="008E0F5B"/>
    <w:rsid w:val="008E590D"/>
    <w:rsid w:val="008F3924"/>
    <w:rsid w:val="0091099B"/>
    <w:rsid w:val="00910CFC"/>
    <w:rsid w:val="00911C18"/>
    <w:rsid w:val="00912F81"/>
    <w:rsid w:val="009152B2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D6"/>
    <w:rsid w:val="00956243"/>
    <w:rsid w:val="009563DD"/>
    <w:rsid w:val="00961F29"/>
    <w:rsid w:val="00963BC2"/>
    <w:rsid w:val="00965786"/>
    <w:rsid w:val="00972806"/>
    <w:rsid w:val="009734BC"/>
    <w:rsid w:val="00981C23"/>
    <w:rsid w:val="009937D4"/>
    <w:rsid w:val="009953E4"/>
    <w:rsid w:val="0099725E"/>
    <w:rsid w:val="009A4AE5"/>
    <w:rsid w:val="009A64F0"/>
    <w:rsid w:val="009B1B39"/>
    <w:rsid w:val="009B5171"/>
    <w:rsid w:val="009C5697"/>
    <w:rsid w:val="009D3E93"/>
    <w:rsid w:val="009F23C4"/>
    <w:rsid w:val="009F4257"/>
    <w:rsid w:val="009F68D2"/>
    <w:rsid w:val="009F71A5"/>
    <w:rsid w:val="00A00C0E"/>
    <w:rsid w:val="00A0152F"/>
    <w:rsid w:val="00A01890"/>
    <w:rsid w:val="00A01EDE"/>
    <w:rsid w:val="00A21516"/>
    <w:rsid w:val="00A31C6A"/>
    <w:rsid w:val="00A360A5"/>
    <w:rsid w:val="00A42788"/>
    <w:rsid w:val="00A42C07"/>
    <w:rsid w:val="00A43B37"/>
    <w:rsid w:val="00A45319"/>
    <w:rsid w:val="00A455B1"/>
    <w:rsid w:val="00A63A24"/>
    <w:rsid w:val="00A6672D"/>
    <w:rsid w:val="00A7198C"/>
    <w:rsid w:val="00A73780"/>
    <w:rsid w:val="00A812DC"/>
    <w:rsid w:val="00A86787"/>
    <w:rsid w:val="00A9516D"/>
    <w:rsid w:val="00AB3498"/>
    <w:rsid w:val="00AD06B6"/>
    <w:rsid w:val="00AD1F0E"/>
    <w:rsid w:val="00AD40E7"/>
    <w:rsid w:val="00AF03B8"/>
    <w:rsid w:val="00AF0925"/>
    <w:rsid w:val="00AF39BA"/>
    <w:rsid w:val="00AF3C02"/>
    <w:rsid w:val="00AF68AC"/>
    <w:rsid w:val="00B146C7"/>
    <w:rsid w:val="00B1619F"/>
    <w:rsid w:val="00B16CA9"/>
    <w:rsid w:val="00B20E93"/>
    <w:rsid w:val="00B2386E"/>
    <w:rsid w:val="00B26BFC"/>
    <w:rsid w:val="00B321F8"/>
    <w:rsid w:val="00B4073D"/>
    <w:rsid w:val="00B40C0D"/>
    <w:rsid w:val="00B43E7A"/>
    <w:rsid w:val="00B454AA"/>
    <w:rsid w:val="00B53BE0"/>
    <w:rsid w:val="00B559A4"/>
    <w:rsid w:val="00B67808"/>
    <w:rsid w:val="00B70CDC"/>
    <w:rsid w:val="00B7452A"/>
    <w:rsid w:val="00B75C61"/>
    <w:rsid w:val="00B80C2B"/>
    <w:rsid w:val="00B8129E"/>
    <w:rsid w:val="00B849D4"/>
    <w:rsid w:val="00BA2181"/>
    <w:rsid w:val="00BA23E0"/>
    <w:rsid w:val="00BA29D0"/>
    <w:rsid w:val="00BA5A1D"/>
    <w:rsid w:val="00BA6CFC"/>
    <w:rsid w:val="00BB739D"/>
    <w:rsid w:val="00BB754E"/>
    <w:rsid w:val="00BC3245"/>
    <w:rsid w:val="00BD03E4"/>
    <w:rsid w:val="00BD3D5A"/>
    <w:rsid w:val="00BD6900"/>
    <w:rsid w:val="00BD69FB"/>
    <w:rsid w:val="00BE1653"/>
    <w:rsid w:val="00BE6DDE"/>
    <w:rsid w:val="00BF07C2"/>
    <w:rsid w:val="00BF135F"/>
    <w:rsid w:val="00BF37BD"/>
    <w:rsid w:val="00BF4DEC"/>
    <w:rsid w:val="00C01FEE"/>
    <w:rsid w:val="00C210E9"/>
    <w:rsid w:val="00C2219C"/>
    <w:rsid w:val="00C2247F"/>
    <w:rsid w:val="00C22A46"/>
    <w:rsid w:val="00C25A36"/>
    <w:rsid w:val="00C40BCB"/>
    <w:rsid w:val="00C43F76"/>
    <w:rsid w:val="00C500AE"/>
    <w:rsid w:val="00C55348"/>
    <w:rsid w:val="00C63C81"/>
    <w:rsid w:val="00C67051"/>
    <w:rsid w:val="00C71910"/>
    <w:rsid w:val="00C808C5"/>
    <w:rsid w:val="00C82D62"/>
    <w:rsid w:val="00C917AE"/>
    <w:rsid w:val="00C930E4"/>
    <w:rsid w:val="00CA146D"/>
    <w:rsid w:val="00CB3B31"/>
    <w:rsid w:val="00CB6F0F"/>
    <w:rsid w:val="00CC06AE"/>
    <w:rsid w:val="00CC3F80"/>
    <w:rsid w:val="00CC4918"/>
    <w:rsid w:val="00CD40A4"/>
    <w:rsid w:val="00CE4E29"/>
    <w:rsid w:val="00CE53B7"/>
    <w:rsid w:val="00CE57B6"/>
    <w:rsid w:val="00CF59ED"/>
    <w:rsid w:val="00CF6222"/>
    <w:rsid w:val="00D04718"/>
    <w:rsid w:val="00D10787"/>
    <w:rsid w:val="00D21D10"/>
    <w:rsid w:val="00D2251B"/>
    <w:rsid w:val="00D2492F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B4BBA"/>
    <w:rsid w:val="00DD349B"/>
    <w:rsid w:val="00DD5F37"/>
    <w:rsid w:val="00DD6F41"/>
    <w:rsid w:val="00DE4746"/>
    <w:rsid w:val="00DE4A14"/>
    <w:rsid w:val="00DE5B44"/>
    <w:rsid w:val="00DF1106"/>
    <w:rsid w:val="00DF1C3E"/>
    <w:rsid w:val="00DF4244"/>
    <w:rsid w:val="00DF66CE"/>
    <w:rsid w:val="00E003C5"/>
    <w:rsid w:val="00E01EF0"/>
    <w:rsid w:val="00E046C3"/>
    <w:rsid w:val="00E10E92"/>
    <w:rsid w:val="00E167C5"/>
    <w:rsid w:val="00E268FC"/>
    <w:rsid w:val="00E3052E"/>
    <w:rsid w:val="00E30CBF"/>
    <w:rsid w:val="00E4700B"/>
    <w:rsid w:val="00E50EE4"/>
    <w:rsid w:val="00E54EA2"/>
    <w:rsid w:val="00E81875"/>
    <w:rsid w:val="00E8354B"/>
    <w:rsid w:val="00EA46E9"/>
    <w:rsid w:val="00EA5ABD"/>
    <w:rsid w:val="00EA5CE2"/>
    <w:rsid w:val="00EB0614"/>
    <w:rsid w:val="00EC07F1"/>
    <w:rsid w:val="00EC1302"/>
    <w:rsid w:val="00ED05B2"/>
    <w:rsid w:val="00ED6CB9"/>
    <w:rsid w:val="00EE1395"/>
    <w:rsid w:val="00EF14E0"/>
    <w:rsid w:val="00F0268F"/>
    <w:rsid w:val="00F04F83"/>
    <w:rsid w:val="00F05AC8"/>
    <w:rsid w:val="00F268E8"/>
    <w:rsid w:val="00F31BAF"/>
    <w:rsid w:val="00F4729F"/>
    <w:rsid w:val="00F5168B"/>
    <w:rsid w:val="00F54442"/>
    <w:rsid w:val="00F54CEE"/>
    <w:rsid w:val="00F5569E"/>
    <w:rsid w:val="00F5643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A317C"/>
    <w:rsid w:val="00FB6202"/>
    <w:rsid w:val="00FB6636"/>
    <w:rsid w:val="00FB673C"/>
    <w:rsid w:val="00FC593C"/>
    <w:rsid w:val="00FC7DCA"/>
    <w:rsid w:val="00FD097F"/>
    <w:rsid w:val="00FD3603"/>
    <w:rsid w:val="00FD4A17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6F1C"/>
  <w15:docId w15:val="{3D4392C5-A826-4386-8FD1-72C10D08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и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и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и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і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Насичена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 (світла)1"/>
    <w:basedOn w:val="a1"/>
    <w:uiPriority w:val="4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474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FR1">
    <w:name w:val="FR1"/>
    <w:rsid w:val="00474382"/>
    <w:pPr>
      <w:widowControl w:val="0"/>
      <w:snapToGrid w:val="0"/>
      <w:spacing w:after="0"/>
      <w:ind w:left="3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7438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ий текст з відступом 2 Знак"/>
    <w:basedOn w:val="a0"/>
    <w:link w:val="23"/>
    <w:rsid w:val="00474382"/>
    <w:rPr>
      <w:rFonts w:ascii="Calibri" w:eastAsia="Calibri" w:hAnsi="Calibri" w:cs="Times New Roman"/>
      <w:lang w:val="ru-RU"/>
    </w:rPr>
  </w:style>
  <w:style w:type="paragraph" w:customStyle="1" w:styleId="af3">
    <w:name w:val="ПитЗВибором"/>
    <w:basedOn w:val="a"/>
    <w:next w:val="a"/>
    <w:rsid w:val="00474382"/>
    <w:pPr>
      <w:spacing w:before="240" w:after="120"/>
      <w:ind w:left="720" w:hanging="360"/>
      <w:outlineLvl w:val="0"/>
    </w:pPr>
    <w:rPr>
      <w:rFonts w:ascii="Verdana" w:eastAsia="Calibri" w:hAnsi="Verdana"/>
      <w:b/>
      <w:sz w:val="28"/>
      <w:lang w:val="en-GB"/>
    </w:rPr>
  </w:style>
  <w:style w:type="paragraph" w:styleId="af4">
    <w:name w:val="Title"/>
    <w:basedOn w:val="a"/>
    <w:link w:val="af5"/>
    <w:qFormat/>
    <w:rsid w:val="000E5858"/>
    <w:pPr>
      <w:jc w:val="center"/>
    </w:pPr>
    <w:rPr>
      <w:rFonts w:ascii="Tahoma" w:eastAsia="Calibri" w:hAnsi="Tahoma"/>
      <w:b/>
      <w:bCs/>
      <w:sz w:val="28"/>
      <w:lang w:val="uk-UA"/>
    </w:rPr>
  </w:style>
  <w:style w:type="character" w:customStyle="1" w:styleId="af5">
    <w:name w:val="Назва Знак"/>
    <w:basedOn w:val="a0"/>
    <w:link w:val="af4"/>
    <w:rsid w:val="000E5858"/>
    <w:rPr>
      <w:rFonts w:ascii="Tahoma" w:eastAsia="Calibri" w:hAnsi="Tahoma" w:cs="Times New Roman"/>
      <w:b/>
      <w:bCs/>
      <w:sz w:val="28"/>
      <w:szCs w:val="24"/>
      <w:lang w:eastAsia="ru-RU"/>
    </w:rPr>
  </w:style>
  <w:style w:type="paragraph" w:customStyle="1" w:styleId="13">
    <w:name w:val="Абзац списка1"/>
    <w:basedOn w:val="a"/>
    <w:rsid w:val="000E5858"/>
    <w:pPr>
      <w:ind w:left="720"/>
      <w:contextualSpacing/>
    </w:pPr>
    <w:rPr>
      <w:rFonts w:eastAsia="Calibri"/>
      <w:lang w:val="uk-UA"/>
    </w:rPr>
  </w:style>
  <w:style w:type="paragraph" w:customStyle="1" w:styleId="210">
    <w:name w:val="Основной текст 21"/>
    <w:basedOn w:val="a"/>
    <w:rsid w:val="000E5858"/>
    <w:pPr>
      <w:jc w:val="center"/>
    </w:pPr>
    <w:rPr>
      <w:rFonts w:eastAsia="Calibri"/>
      <w:b/>
      <w:sz w:val="32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591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913A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2412-ABD1-4EB4-84C6-FCDAABA8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13629</Words>
  <Characters>7769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2020-03-31T14:52:00Z</dcterms:created>
  <dcterms:modified xsi:type="dcterms:W3CDTF">2020-04-16T09:22:00Z</dcterms:modified>
</cp:coreProperties>
</file>