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text" w:tblpX="938" w:tblpY="-405"/>
        <w:tblOverlap w:val="never"/>
        <w:tblW w:w="1337" w:type="dxa"/>
        <w:tblInd w:w="0" w:type="dxa"/>
        <w:tblCellMar>
          <w:left w:w="199" w:type="dxa"/>
          <w:right w:w="115" w:type="dxa"/>
        </w:tblCellMar>
        <w:tblLook w:val="04A0" w:firstRow="1" w:lastRow="0" w:firstColumn="1" w:lastColumn="0" w:noHBand="0" w:noVBand="1"/>
      </w:tblPr>
      <w:tblGrid>
        <w:gridCol w:w="1337"/>
      </w:tblGrid>
      <w:tr w:rsidR="00A55379" w:rsidTr="007606A2">
        <w:trPr>
          <w:trHeight w:val="973"/>
        </w:trPr>
        <w:tc>
          <w:tcPr>
            <w:tcW w:w="1337" w:type="dxa"/>
            <w:tcBorders>
              <w:top w:val="double" w:sz="8" w:space="0" w:color="000000"/>
              <w:left w:val="double" w:sz="8" w:space="0" w:color="000000"/>
              <w:bottom w:val="double" w:sz="8" w:space="0" w:color="000000"/>
              <w:right w:val="double" w:sz="8" w:space="0" w:color="000000"/>
            </w:tcBorders>
            <w:shd w:val="clear" w:color="auto" w:fill="BFBFBF"/>
          </w:tcPr>
          <w:p w:rsidR="00A55379" w:rsidRDefault="00A55379" w:rsidP="007606A2">
            <w:pPr>
              <w:spacing w:after="0" w:line="259" w:lineRule="auto"/>
              <w:ind w:left="0" w:firstLine="0"/>
              <w:jc w:val="left"/>
            </w:pPr>
          </w:p>
          <w:p w:rsidR="00A55379" w:rsidRDefault="00A55379" w:rsidP="007606A2">
            <w:pPr>
              <w:spacing w:after="37" w:line="259" w:lineRule="auto"/>
              <w:ind w:left="50" w:firstLine="0"/>
              <w:jc w:val="left"/>
            </w:pPr>
            <w:r>
              <w:rPr>
                <w:b/>
              </w:rPr>
              <w:t xml:space="preserve">ТЕМА </w:t>
            </w:r>
          </w:p>
          <w:p w:rsidR="00A55379" w:rsidRDefault="00A55379" w:rsidP="007606A2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>3</w:t>
            </w:r>
            <w:r>
              <w:rPr>
                <w:sz w:val="22"/>
              </w:rPr>
              <w:t xml:space="preserve"> </w:t>
            </w:r>
          </w:p>
        </w:tc>
      </w:tr>
    </w:tbl>
    <w:p w:rsidR="00A55379" w:rsidRDefault="00A55379" w:rsidP="00A55379">
      <w:pPr>
        <w:spacing w:after="97" w:line="259" w:lineRule="auto"/>
        <w:ind w:left="948" w:right="37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489B4A" wp14:editId="7A7A129D">
                <wp:simplePos x="0" y="0"/>
                <wp:positionH relativeFrom="column">
                  <wp:posOffset>1559398</wp:posOffset>
                </wp:positionH>
                <wp:positionV relativeFrom="paragraph">
                  <wp:posOffset>-257326</wp:posOffset>
                </wp:positionV>
                <wp:extent cx="4350366" cy="122638"/>
                <wp:effectExtent l="0" t="0" r="0" b="0"/>
                <wp:wrapSquare wrapText="bothSides"/>
                <wp:docPr id="95930" name="Group 95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66" cy="122638"/>
                          <a:chOff x="0" y="0"/>
                          <a:chExt cx="4350366" cy="122638"/>
                        </a:xfrm>
                      </wpg:grpSpPr>
                      <wps:wsp>
                        <wps:cNvPr id="8120" name="Shape 8120"/>
                        <wps:cNvSpPr/>
                        <wps:spPr>
                          <a:xfrm>
                            <a:off x="0" y="0"/>
                            <a:ext cx="4350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0366">
                                <a:moveTo>
                                  <a:pt x="0" y="0"/>
                                </a:moveTo>
                                <a:lnTo>
                                  <a:pt x="4350366" y="0"/>
                                </a:lnTo>
                              </a:path>
                            </a:pathLst>
                          </a:custGeom>
                          <a:ln w="94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9" name="Shape 8129"/>
                        <wps:cNvSpPr/>
                        <wps:spPr>
                          <a:xfrm>
                            <a:off x="0" y="56602"/>
                            <a:ext cx="3991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53">
                                <a:moveTo>
                                  <a:pt x="0" y="0"/>
                                </a:moveTo>
                                <a:lnTo>
                                  <a:pt x="3991653" y="0"/>
                                </a:lnTo>
                              </a:path>
                            </a:pathLst>
                          </a:custGeom>
                          <a:ln w="94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0" name="Shape 8130"/>
                        <wps:cNvSpPr/>
                        <wps:spPr>
                          <a:xfrm>
                            <a:off x="0" y="122638"/>
                            <a:ext cx="3631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1030">
                                <a:moveTo>
                                  <a:pt x="0" y="0"/>
                                </a:moveTo>
                                <a:lnTo>
                                  <a:pt x="3631030" y="0"/>
                                </a:lnTo>
                              </a:path>
                            </a:pathLst>
                          </a:custGeom>
                          <a:ln w="94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50415" id="Group 95930" o:spid="_x0000_s1026" style="position:absolute;margin-left:122.8pt;margin-top:-20.25pt;width:342.55pt;height:9.65pt;z-index:251659264" coordsize="43503,1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">
                <v:shape id="Shape 8120" o:spid="_x0000_s1027" style="position:absolute;width:43503;height:0;visibility:visible;mso-wrap-style:square;v-text-anchor:top" coordsize="43503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Fi8QA&#10;AADdAAAADwAAAGRycy9kb3ducmV2LnhtbERPz2vCMBS+C/4P4Qm7aVoPQ6qpqOAoZWOoO+z4aF6b&#10;YvNSm0y7/fXLYbDjx/d7sx1tJ+40+NaxgnSRgCCunG65UfBxOc5XIHxA1tg5JgXf5GGbTycbzLR7&#10;8Inu59CIGMI+QwUmhD6T0leGLPqF64kjV7vBYohwaKQe8BHDbSeXSfIsLbYcGwz2dDBUXc9fVsHn&#10;vjzWb/vbe6NfTq+d+SmLIi2VepqNuzWIQGP4F/+5C61glS7j/vg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BRYvEAAAA3QAAAA8AAAAAAAAAAAAAAAAAmAIAAGRycy9k&#10;b3ducmV2LnhtbFBLBQYAAAAABAAEAPUAAACJAwAAAAA=&#10;" path="m,l4350366,e" filled="f" strokeweight=".26206mm">
                  <v:stroke endcap="round"/>
                  <v:path arrowok="t" textboxrect="0,0,4350366,0"/>
                </v:shape>
                <v:shape id="Shape 8129" o:spid="_x0000_s1028" style="position:absolute;top:566;width:39916;height:0;visibility:visible;mso-wrap-style:square;v-text-anchor:top" coordsize="39916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RDcQA&#10;AADdAAAADwAAAGRycy9kb3ducmV2LnhtbESPQWvCQBSE7wX/w/IEb3VjDiamrlItFT3WVrw+sq9J&#10;aPZt2N3E9N93BaHHYWa+Ydbb0bRiIOcbywoW8wQEcWl1w5WCr8/35xyED8gaW8uk4Jc8bDeTpzUW&#10;2t74g4ZzqESEsC9QQR1CV0jpy5oM+rntiKP3bZ3BEKWrpHZ4i3DTyjRJltJgw3Ghxo72NZU/594o&#10;6N/yrL+csmFl+uvOUXZo0/Kg1Gw6vr6ACDSG//CjfdQK8kW6gvu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t0Q3EAAAA3QAAAA8AAAAAAAAAAAAAAAAAmAIAAGRycy9k&#10;b3ducmV2LnhtbFBLBQYAAAAABAAEAPUAAACJAwAAAAA=&#10;" path="m,l3991653,e" filled="f" strokeweight=".26206mm">
                  <v:stroke endcap="round"/>
                  <v:path arrowok="t" textboxrect="0,0,3991653,0"/>
                </v:shape>
                <v:shape id="Shape 8130" o:spid="_x0000_s1029" style="position:absolute;top:1226;width:36310;height:0;visibility:visible;mso-wrap-style:square;v-text-anchor:top" coordsize="36310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fq8MA&#10;AADdAAAADwAAAGRycy9kb3ducmV2LnhtbERP3WrCMBS+H/gO4Qi7m2k7GFKN4izKGKxg9QHOmrO2&#10;rDkpTUy7t18uBrv8+P63+9n0ItDoOssK0lUCgri2uuNGwe16elqDcB5ZY2+ZFPyQg/1u8bDFXNuJ&#10;LxQq34gYwi5HBa33Qy6lq1sy6FZ2II7clx0N+gjHRuoRpxhuepklyYs02HFsaHGgY0v1d3U3Cj4+&#10;6/IW0nB+fz3INJRVVhRklHpczocNCE+z/xf/ud+0gnX6HP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Sfq8MAAADdAAAADwAAAAAAAAAAAAAAAACYAgAAZHJzL2Rv&#10;d25yZXYueG1sUEsFBgAAAAAEAAQA9QAAAIgDAAAAAA==&#10;" path="m,l3631030,e" filled="f" strokeweight=".26206mm">
                  <v:stroke endcap="round"/>
                  <v:path arrowok="t" textboxrect="0,0,3631030,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ОБЛІК ОПЕРАЦІЙ З ГРОШОВИМИ КОШТАМИ </w:t>
      </w:r>
    </w:p>
    <w:p w:rsidR="00A55379" w:rsidRDefault="00A55379" w:rsidP="00A55379">
      <w:pPr>
        <w:spacing w:after="203" w:line="259" w:lineRule="auto"/>
        <w:ind w:left="938" w:right="48" w:firstLine="0"/>
        <w:jc w:val="right"/>
      </w:pPr>
      <w:r>
        <w:rPr>
          <w:sz w:val="26"/>
        </w:rPr>
        <w:t xml:space="preserve"> </w:t>
      </w:r>
      <w:r>
        <w:rPr>
          <w:sz w:val="26"/>
        </w:rPr>
        <w:tab/>
      </w:r>
      <w:r>
        <w:t xml:space="preserve"> </w:t>
      </w:r>
    </w:p>
    <w:p w:rsidR="00A55379" w:rsidRDefault="00A55379" w:rsidP="00A55379">
      <w:pPr>
        <w:pStyle w:val="1"/>
        <w:spacing w:after="1"/>
      </w:pPr>
      <w:r>
        <w:t>ТЕОРЕТИЧНІ ОСНОВИ ДЛЯ ВИВЧЕННЯ ТЕМИ</w:t>
      </w:r>
      <w:r>
        <w:rPr>
          <w:i w:val="0"/>
        </w:rPr>
        <w:t xml:space="preserve"> </w:t>
      </w:r>
    </w:p>
    <w:p w:rsidR="00A55379" w:rsidRDefault="00A55379" w:rsidP="00A55379">
      <w:pPr>
        <w:spacing w:after="93" w:line="259" w:lineRule="auto"/>
        <w:ind w:left="566" w:firstLine="0"/>
        <w:jc w:val="left"/>
      </w:pPr>
      <w:r>
        <w:rPr>
          <w:b/>
        </w:rPr>
        <w:t xml:space="preserve"> </w:t>
      </w:r>
    </w:p>
    <w:p w:rsidR="00A55379" w:rsidRDefault="00A55379" w:rsidP="00A55379">
      <w:pPr>
        <w:pStyle w:val="2"/>
        <w:spacing w:after="92" w:line="259" w:lineRule="auto"/>
        <w:ind w:left="461" w:right="729"/>
      </w:pPr>
      <w:r>
        <w:rPr>
          <w:b/>
          <w:i w:val="0"/>
        </w:rPr>
        <w:t>3.1</w:t>
      </w:r>
      <w:r>
        <w:rPr>
          <w:rFonts w:ascii="Arial" w:eastAsia="Arial" w:hAnsi="Arial" w:cs="Arial"/>
          <w:b/>
          <w:i w:val="0"/>
        </w:rPr>
        <w:t xml:space="preserve"> </w:t>
      </w:r>
      <w:r>
        <w:rPr>
          <w:b/>
          <w:i w:val="0"/>
        </w:rPr>
        <w:t xml:space="preserve">Надходження безготівкових коштів </w:t>
      </w:r>
    </w:p>
    <w:p w:rsidR="00A55379" w:rsidRDefault="00A55379" w:rsidP="00A55379">
      <w:pPr>
        <w:ind w:left="-15" w:right="630" w:firstLine="566"/>
      </w:pPr>
      <w:r>
        <w:t xml:space="preserve">Документ «Надходження на банківський рахунок» призначений для обліку надходження безготівкових коштів на банківський рахунок організації по виписці банку. </w:t>
      </w:r>
    </w:p>
    <w:p w:rsidR="00A55379" w:rsidRDefault="00A55379" w:rsidP="00A55379">
      <w:pPr>
        <w:ind w:left="576" w:right="630"/>
      </w:pPr>
      <w:r>
        <w:t xml:space="preserve">У документі можуть бути вказані такі види господарських операцій: </w:t>
      </w:r>
    </w:p>
    <w:p w:rsidR="00A55379" w:rsidRDefault="00A55379" w:rsidP="00A55379">
      <w:pPr>
        <w:numPr>
          <w:ilvl w:val="0"/>
          <w:numId w:val="1"/>
        </w:numPr>
        <w:ind w:right="630" w:firstLine="566"/>
      </w:pPr>
      <w:r>
        <w:t>«</w:t>
      </w:r>
      <w:r>
        <w:rPr>
          <w:i/>
        </w:rPr>
        <w:t>Оплата від покупця</w:t>
      </w:r>
      <w:r>
        <w:t xml:space="preserve">» – призначена для відображення надходження безготівкових грошових коштів від покупця. При цьому необхідно буде вибрати той договір, у якого встановлений вид «з покупцем», «з комісіонером» або «з комітентом». При проведенні документа буде визначено стан розрахунків за договором і яка сума автоматично розділиться на аванс і оплату. </w:t>
      </w:r>
    </w:p>
    <w:p w:rsidR="00A55379" w:rsidRDefault="00A55379" w:rsidP="00A55379">
      <w:pPr>
        <w:numPr>
          <w:ilvl w:val="0"/>
          <w:numId w:val="1"/>
        </w:numPr>
        <w:ind w:right="630" w:firstLine="566"/>
      </w:pPr>
      <w:r>
        <w:t>«</w:t>
      </w:r>
      <w:r>
        <w:rPr>
          <w:i/>
        </w:rPr>
        <w:t>Повернення від постачальника</w:t>
      </w:r>
      <w:r>
        <w:t xml:space="preserve">» – вказується при надходженні безготівкових грошових коштів, повернутих постачальником. Договір необхідно вибрати той, у якого встановлений вид «з постачальником», «з комісіонером» або «з комітентом». </w:t>
      </w:r>
    </w:p>
    <w:p w:rsidR="00A55379" w:rsidRDefault="00A55379" w:rsidP="00A55379">
      <w:pPr>
        <w:numPr>
          <w:ilvl w:val="0"/>
          <w:numId w:val="1"/>
        </w:numPr>
        <w:ind w:right="630" w:firstLine="566"/>
      </w:pPr>
      <w:r>
        <w:t>«</w:t>
      </w:r>
      <w:r>
        <w:rPr>
          <w:i/>
        </w:rPr>
        <w:t>Розрахунки за кредитами і позиками</w:t>
      </w:r>
      <w:r>
        <w:t xml:space="preserve">» – вказується при надходженні безготівкових грошових коштів за кредитами і позиками. Договір треба вибрати той, у якого встановлений вид «інше». </w:t>
      </w:r>
    </w:p>
    <w:p w:rsidR="00A55379" w:rsidRDefault="00A55379" w:rsidP="00A55379">
      <w:pPr>
        <w:numPr>
          <w:ilvl w:val="0"/>
          <w:numId w:val="1"/>
        </w:numPr>
        <w:spacing w:after="0" w:line="326" w:lineRule="auto"/>
        <w:ind w:right="630" w:firstLine="566"/>
      </w:pPr>
      <w:r>
        <w:t>«</w:t>
      </w:r>
      <w:r>
        <w:rPr>
          <w:i/>
        </w:rPr>
        <w:t>Інші розрахунки з контрагентами</w:t>
      </w:r>
      <w:r>
        <w:t xml:space="preserve">» – вказується для реєстрації інших розрахунків за договорами з контрагентами. </w:t>
      </w:r>
    </w:p>
    <w:p w:rsidR="00A55379" w:rsidRDefault="00A55379" w:rsidP="00A55379">
      <w:pPr>
        <w:numPr>
          <w:ilvl w:val="0"/>
          <w:numId w:val="1"/>
        </w:numPr>
        <w:ind w:right="630" w:firstLine="566"/>
      </w:pPr>
      <w:r>
        <w:t>«</w:t>
      </w:r>
      <w:r>
        <w:rPr>
          <w:i/>
        </w:rPr>
        <w:t>Інкасація</w:t>
      </w:r>
      <w:r>
        <w:t xml:space="preserve">» – вказується для зарахування на поточний рахунок грошових коштів, раніше зданих на інкасацію в торговельних точках </w:t>
      </w:r>
    </w:p>
    <w:p w:rsidR="00A55379" w:rsidRDefault="00A55379" w:rsidP="00A55379">
      <w:pPr>
        <w:ind w:left="-15" w:right="630" w:firstLine="566"/>
      </w:pPr>
      <w:r>
        <w:t xml:space="preserve">організації. </w:t>
      </w:r>
    </w:p>
    <w:p w:rsidR="00A55379" w:rsidRDefault="00A55379" w:rsidP="00A55379">
      <w:pPr>
        <w:numPr>
          <w:ilvl w:val="0"/>
          <w:numId w:val="1"/>
        </w:numPr>
        <w:ind w:right="630" w:firstLine="566"/>
      </w:pPr>
      <w:r>
        <w:t>«</w:t>
      </w:r>
      <w:r>
        <w:rPr>
          <w:i/>
        </w:rPr>
        <w:t>Купівля/продаж валюти</w:t>
      </w:r>
      <w:r>
        <w:t xml:space="preserve">» – використовується для реєстрації факту зарахування придбаних валютних коштів на валютний рахунок або надходження коштів за продану валюту на гривневий рахунок. </w:t>
      </w:r>
    </w:p>
    <w:p w:rsidR="00A55379" w:rsidRDefault="00A55379" w:rsidP="00A55379">
      <w:pPr>
        <w:numPr>
          <w:ilvl w:val="0"/>
          <w:numId w:val="1"/>
        </w:numPr>
        <w:spacing w:after="2" w:line="325" w:lineRule="auto"/>
        <w:ind w:right="630" w:firstLine="566"/>
      </w:pPr>
      <w:r>
        <w:t>«</w:t>
      </w:r>
      <w:r>
        <w:rPr>
          <w:i/>
        </w:rPr>
        <w:t>Надходження коштів від ФСС</w:t>
      </w:r>
      <w:r>
        <w:t xml:space="preserve">» – використовується при надходженні грошових коштів від ФСС. </w:t>
      </w:r>
    </w:p>
    <w:p w:rsidR="00A55379" w:rsidRDefault="00A55379" w:rsidP="00A55379">
      <w:pPr>
        <w:numPr>
          <w:ilvl w:val="0"/>
          <w:numId w:val="1"/>
        </w:numPr>
        <w:spacing w:after="40"/>
        <w:ind w:right="630" w:firstLine="566"/>
      </w:pPr>
      <w:r>
        <w:t>«</w:t>
      </w:r>
      <w:r>
        <w:rPr>
          <w:i/>
        </w:rPr>
        <w:t>Надходження від продажів по платіжних картах і банківських кредитах</w:t>
      </w:r>
      <w:r>
        <w:t xml:space="preserve">» – використовується при надходженні коштів від банку по роздрібних продажах, вчиненим за платіжними картками або за банківськими кредитами, наданими банком роздрібним покупцям. Сума оплати послуг банку відноситься на витрати. </w:t>
      </w:r>
    </w:p>
    <w:p w:rsidR="00A55379" w:rsidRDefault="00A55379" w:rsidP="00A55379">
      <w:pPr>
        <w:numPr>
          <w:ilvl w:val="0"/>
          <w:numId w:val="1"/>
        </w:numPr>
        <w:spacing w:after="21"/>
        <w:ind w:right="630" w:firstLine="566"/>
      </w:pPr>
      <w:r>
        <w:lastRenderedPageBreak/>
        <w:t>В інших випадках вибирається операція «</w:t>
      </w:r>
      <w:r>
        <w:rPr>
          <w:i/>
        </w:rPr>
        <w:t>Інше надходження</w:t>
      </w:r>
      <w:r>
        <w:t xml:space="preserve">». </w:t>
      </w:r>
    </w:p>
    <w:p w:rsidR="00A55379" w:rsidRDefault="00A55379" w:rsidP="00A55379">
      <w:pPr>
        <w:spacing w:after="94" w:line="259" w:lineRule="auto"/>
        <w:ind w:left="566" w:firstLine="0"/>
        <w:jc w:val="left"/>
      </w:pPr>
      <w:r>
        <w:t xml:space="preserve"> </w:t>
      </w:r>
    </w:p>
    <w:p w:rsidR="00A55379" w:rsidRDefault="00A55379" w:rsidP="00A55379">
      <w:pPr>
        <w:pStyle w:val="2"/>
        <w:tabs>
          <w:tab w:val="center" w:pos="1935"/>
          <w:tab w:val="center" w:pos="5061"/>
        </w:tabs>
        <w:spacing w:after="43" w:line="259" w:lineRule="auto"/>
        <w:ind w:left="0" w:right="0" w:firstLine="0"/>
        <w:jc w:val="left"/>
      </w:pPr>
      <w:r>
        <w:rPr>
          <w:rFonts w:ascii="Calibri" w:eastAsia="Calibri" w:hAnsi="Calibri" w:cs="Calibri"/>
          <w:i w:val="0"/>
          <w:sz w:val="22"/>
        </w:rPr>
        <w:tab/>
      </w:r>
      <w:r>
        <w:rPr>
          <w:b/>
          <w:i w:val="0"/>
        </w:rPr>
        <w:t>3.2</w:t>
      </w:r>
      <w:r>
        <w:rPr>
          <w:rFonts w:ascii="Arial" w:eastAsia="Arial" w:hAnsi="Arial" w:cs="Arial"/>
          <w:b/>
          <w:i w:val="0"/>
        </w:rPr>
        <w:t xml:space="preserve"> </w:t>
      </w:r>
      <w:r>
        <w:rPr>
          <w:rFonts w:ascii="Arial" w:eastAsia="Arial" w:hAnsi="Arial" w:cs="Arial"/>
          <w:b/>
          <w:i w:val="0"/>
        </w:rPr>
        <w:tab/>
      </w:r>
      <w:r>
        <w:rPr>
          <w:b/>
          <w:i w:val="0"/>
        </w:rPr>
        <w:t xml:space="preserve">Вибуття безготівкових грошових коштів </w:t>
      </w:r>
    </w:p>
    <w:p w:rsidR="00A55379" w:rsidRDefault="00A55379" w:rsidP="00A55379">
      <w:pPr>
        <w:ind w:left="-15" w:right="630" w:firstLine="566"/>
      </w:pPr>
      <w:r>
        <w:t xml:space="preserve">Документ «Платіжне доручення» призначений для формування друкованої форми платіжного доручення, а також для підготовки інформації до вивантаження даних в програму Клієнт банку. </w:t>
      </w:r>
    </w:p>
    <w:p w:rsidR="00A55379" w:rsidRDefault="00A55379" w:rsidP="00A55379">
      <w:pPr>
        <w:spacing w:after="21"/>
        <w:ind w:left="576" w:right="630"/>
      </w:pPr>
      <w:r>
        <w:t xml:space="preserve">Ввести новий документ можна в розділі «Банк і каса». </w:t>
      </w:r>
    </w:p>
    <w:p w:rsidR="00A55379" w:rsidRDefault="00A55379" w:rsidP="00A55379">
      <w:pPr>
        <w:spacing w:after="40"/>
        <w:ind w:left="-15" w:right="630" w:firstLine="566"/>
      </w:pPr>
      <w:r>
        <w:t xml:space="preserve">Склад реквізитів у формі документа може бути різним, залежно від того, чи оформляється документом перерахування податкового платежу або, наприклад, оплата постачальнику. </w:t>
      </w:r>
    </w:p>
    <w:p w:rsidR="00A55379" w:rsidRDefault="00A55379" w:rsidP="00A55379">
      <w:pPr>
        <w:spacing w:after="32"/>
        <w:ind w:left="-15" w:right="630" w:firstLine="566"/>
      </w:pPr>
      <w:r>
        <w:t xml:space="preserve">Якщо формування платіжного доручення та введення даних для відображення в обліку списання грошових коштів рознесені в часі або по виконавцях, то спочатку рекомендується сформувати документ «Платіжне доручення» і заповнити відомості, необхідні для передачі в банк. </w:t>
      </w:r>
    </w:p>
    <w:p w:rsidR="00A55379" w:rsidRDefault="00A55379" w:rsidP="00A55379">
      <w:pPr>
        <w:spacing w:after="32"/>
        <w:ind w:left="-15" w:right="630" w:firstLine="566"/>
      </w:pPr>
      <w:r>
        <w:t xml:space="preserve">Якщо оформленням платіжних доручень та реєстрацією виписки банку займається одна людина, а також якщо на момент оформлення платіжного доручення відомі всі дані для відображення в обліку, послідовність дій може бути наступна: </w:t>
      </w:r>
    </w:p>
    <w:p w:rsidR="00A55379" w:rsidRDefault="00A55379" w:rsidP="00A55379">
      <w:pPr>
        <w:numPr>
          <w:ilvl w:val="0"/>
          <w:numId w:val="2"/>
        </w:numPr>
        <w:spacing w:after="0" w:line="325" w:lineRule="auto"/>
        <w:ind w:right="630" w:firstLine="566"/>
      </w:pPr>
      <w:r>
        <w:t xml:space="preserve">Сформувати документ «Платіжне доручення» і заповнити відомості, необхідні для передачі в банк. </w:t>
      </w:r>
    </w:p>
    <w:p w:rsidR="00A55379" w:rsidRDefault="00A55379" w:rsidP="00A55379">
      <w:pPr>
        <w:numPr>
          <w:ilvl w:val="0"/>
          <w:numId w:val="2"/>
        </w:numPr>
        <w:spacing w:after="32"/>
        <w:ind w:right="630" w:firstLine="566"/>
      </w:pPr>
      <w:r>
        <w:t xml:space="preserve">З документа «Платіжне доручення» створити документ списання за посиланням «Ввести документ списання з банківського рахунку» і заповнити реквізити списання. При цьому потрібно проконтролювати, щоб в документі списання був знятий прапорець «Підтверджено випискою банку». </w:t>
      </w:r>
    </w:p>
    <w:p w:rsidR="00A55379" w:rsidRDefault="00A55379" w:rsidP="00A55379">
      <w:pPr>
        <w:spacing w:after="40"/>
        <w:ind w:left="-15" w:right="630" w:firstLine="566"/>
      </w:pPr>
      <w:r>
        <w:t xml:space="preserve">При реєстрації виписки банку в документі списання, створеному раніше на підставі платіжного доручення, встановлюється прапорець «Підтверджено випискою банку» і документ проводиться. Реквізити операції списання були заповнені раніше при оформленні платіжного доручення, тому немає необхідності відкривати документ списання і перевіряти введені дані. </w:t>
      </w:r>
    </w:p>
    <w:p w:rsidR="00A55379" w:rsidRDefault="00A55379" w:rsidP="00A55379">
      <w:pPr>
        <w:ind w:left="-15" w:right="630" w:firstLine="566"/>
      </w:pPr>
      <w:r>
        <w:t xml:space="preserve">Після заповнення платіжного доручення можна роздрукувати платіжне доручення по кнопці «Друк». Документ зберігається по кнопці «Провести і </w:t>
      </w:r>
    </w:p>
    <w:p w:rsidR="00A55379" w:rsidRDefault="00A55379" w:rsidP="00A55379">
      <w:pPr>
        <w:ind w:left="-15" w:right="630" w:firstLine="566"/>
      </w:pPr>
      <w:r>
        <w:t xml:space="preserve">закрити». </w:t>
      </w:r>
    </w:p>
    <w:p w:rsidR="00A55379" w:rsidRDefault="00A55379" w:rsidP="00A55379">
      <w:pPr>
        <w:ind w:left="576" w:right="630"/>
      </w:pPr>
      <w:r>
        <w:t xml:space="preserve">Документ не формує проводок. </w:t>
      </w:r>
    </w:p>
    <w:p w:rsidR="00A55379" w:rsidRDefault="00A55379" w:rsidP="00A55379">
      <w:pPr>
        <w:ind w:left="-15" w:right="630" w:firstLine="566"/>
      </w:pPr>
      <w:r>
        <w:t xml:space="preserve">Якщо платіжне доручення оформляється на перерахування податку або іншого платежу до бюджету, «Призначення платежу» можна заповнити автоматично по кнопці «Заповнити призначення платежу до бюджету». </w:t>
      </w:r>
    </w:p>
    <w:p w:rsidR="00A55379" w:rsidRDefault="00A55379" w:rsidP="00A55379">
      <w:pPr>
        <w:spacing w:after="0" w:line="325" w:lineRule="auto"/>
        <w:ind w:left="-15" w:right="630" w:firstLine="566"/>
      </w:pPr>
      <w:r>
        <w:lastRenderedPageBreak/>
        <w:t xml:space="preserve">Документ «Списання з банківського рахунку» призначений для обліку списання безготівкових коштів. На підставі даного документа також можна створити документ «Платіжне доручення. </w:t>
      </w:r>
    </w:p>
    <w:p w:rsidR="00A55379" w:rsidRDefault="00A55379" w:rsidP="00A55379">
      <w:pPr>
        <w:spacing w:after="2" w:line="324" w:lineRule="auto"/>
        <w:ind w:left="-15" w:right="630" w:firstLine="566"/>
      </w:pPr>
      <w:r>
        <w:t xml:space="preserve">Документами «Списання з банківського рахунку» відображаються наступні види господарських операцій: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Оплата постачальнику</w:t>
      </w:r>
      <w:r>
        <w:t xml:space="preserve">» – призначена для відображення розрахунків з постачальником. Договір необхідно вибрати той, у якого встановлений вид «з постачальником», «з комітентом» або «з комісіонером».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Повернення покупцю</w:t>
      </w:r>
      <w:r>
        <w:t xml:space="preserve">» – використовується для відображення повернення безготівкових коштів покупцеві. Договір необхідно вибрати той, у якого встановлений вид «з покупцем», «з комітентом» або «з комісіонером».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Перерахування податків/внесків по заробітній платі</w:t>
      </w:r>
      <w:r>
        <w:t xml:space="preserve">» – використовується для відображення факту сплати податків. Для виконання операції необхідно вказати рахунок обліку розрахунків по перерахованому податку, значення аналітики, обраного для цього рахунку, і статтю руху грошових коштів. Перерахування податку можна виконати одночасно за кількома статтями податкової декларації у разі коли податок перераховується одному контрагенту і обліковується на одному рахунку.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Розрахунки за кредитами і позиками</w:t>
      </w:r>
      <w:r>
        <w:t xml:space="preserve">» – призначена для відображення витрат безготівкових коштів за кредитами і позиками. Договір необхідно вибрати той, у якого зазначено вид «інше». </w:t>
      </w:r>
    </w:p>
    <w:p w:rsidR="00A55379" w:rsidRDefault="00A55379" w:rsidP="00A55379">
      <w:pPr>
        <w:numPr>
          <w:ilvl w:val="0"/>
          <w:numId w:val="3"/>
        </w:numPr>
        <w:spacing w:after="0" w:line="326" w:lineRule="auto"/>
        <w:ind w:right="630" w:firstLine="566"/>
      </w:pPr>
      <w:r>
        <w:t>«</w:t>
      </w:r>
      <w:r>
        <w:rPr>
          <w:i/>
        </w:rPr>
        <w:t>Інші розрахунки з контрагентами</w:t>
      </w:r>
      <w:r>
        <w:t xml:space="preserve">» – призначена для відображення списання коштів за договорами з контрагентами в інших випадках.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Переказ на інший рахунок організації</w:t>
      </w:r>
      <w:r>
        <w:t xml:space="preserve">» – вказується при перерахуванні грошових коштів на інший рахунок організації, включаючи розрахункові, валютні та спеціальні рахунки.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Перерахування заробітної плати</w:t>
      </w:r>
      <w:r>
        <w:t xml:space="preserve">» – вказується при списанні коштів з одного рахунку на перерахування заробітної плати. У табличній частині «Перерахування заробітної плати» необхідно вказати документи виду «Зарплата до виплати організації», за якими перераховуються кошти.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Купівля/продаж валюти</w:t>
      </w:r>
      <w:r>
        <w:t xml:space="preserve">» – використовується для реєстрації факту перерахування валютних коштів для продажу або перерахування гривневих коштів для покупки валюти.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«</w:t>
      </w:r>
      <w:r>
        <w:rPr>
          <w:i/>
        </w:rPr>
        <w:t>Перерахування підзвітній особі</w:t>
      </w:r>
      <w:r>
        <w:t xml:space="preserve">» – встановлюється в разі оформлення операції з перерахування коштів підзвітній особі. При </w:t>
      </w:r>
      <w:r>
        <w:lastRenderedPageBreak/>
        <w:t xml:space="preserve">оформленні даної операції необхідно з довідника «Фізичні особи» вибрати підзвітну особу, якій видаються кошти. </w:t>
      </w:r>
    </w:p>
    <w:p w:rsidR="00A55379" w:rsidRDefault="00A55379" w:rsidP="00A55379">
      <w:pPr>
        <w:numPr>
          <w:ilvl w:val="0"/>
          <w:numId w:val="3"/>
        </w:numPr>
        <w:ind w:right="630" w:firstLine="566"/>
      </w:pPr>
      <w:r>
        <w:t>В інших випадках вибирається операція «</w:t>
      </w:r>
      <w:r>
        <w:rPr>
          <w:i/>
        </w:rPr>
        <w:t>Інше списання</w:t>
      </w:r>
      <w:r>
        <w:t xml:space="preserve">». </w:t>
      </w:r>
    </w:p>
    <w:p w:rsidR="00A55379" w:rsidRDefault="00A55379" w:rsidP="00A55379">
      <w:pPr>
        <w:spacing w:after="0" w:line="320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Оформіть Платіжне доручення (Банк і каса → Платіжні доручення) на оплату постачальнику «Імпульс» на 15 000,00 грн. Прапор «</w:t>
      </w:r>
      <w:proofErr w:type="spellStart"/>
      <w:r>
        <w:t>Оплачено</w:t>
      </w:r>
      <w:proofErr w:type="spellEnd"/>
      <w:r>
        <w:t xml:space="preserve">» не встановлюйте (Рис. 53). </w:t>
      </w:r>
    </w:p>
    <w:p w:rsidR="00A55379" w:rsidRDefault="00A55379" w:rsidP="00A55379">
      <w:pPr>
        <w:spacing w:after="12" w:line="259" w:lineRule="auto"/>
        <w:ind w:left="0" w:right="1186" w:firstLine="0"/>
        <w:jc w:val="right"/>
      </w:pPr>
      <w:r>
        <w:rPr>
          <w:noProof/>
        </w:rPr>
        <w:drawing>
          <wp:inline distT="0" distB="0" distL="0" distR="0" wp14:anchorId="3828FBBC" wp14:editId="174E27F4">
            <wp:extent cx="5370830" cy="3026410"/>
            <wp:effectExtent l="0" t="0" r="0" b="0"/>
            <wp:docPr id="8629" name="Picture 8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" name="Picture 86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pStyle w:val="2"/>
        <w:ind w:left="563" w:right="622"/>
      </w:pPr>
      <w:r>
        <w:t xml:space="preserve">Рис. 53 </w:t>
      </w:r>
    </w:p>
    <w:p w:rsidR="00A55379" w:rsidRDefault="00A55379" w:rsidP="00A55379">
      <w:pPr>
        <w:spacing w:after="93" w:line="259" w:lineRule="auto"/>
        <w:ind w:left="566" w:firstLine="0"/>
        <w:jc w:val="left"/>
      </w:pPr>
      <w:r>
        <w:t xml:space="preserve"> </w:t>
      </w:r>
    </w:p>
    <w:p w:rsidR="00A55379" w:rsidRDefault="00A55379" w:rsidP="00A55379">
      <w:pPr>
        <w:pStyle w:val="3"/>
        <w:tabs>
          <w:tab w:val="center" w:pos="2369"/>
          <w:tab w:val="center" w:pos="5060"/>
        </w:tabs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3.3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Аналіз і проведення </w:t>
      </w:r>
      <w:proofErr w:type="spellStart"/>
      <w:r>
        <w:t>оплат</w:t>
      </w:r>
      <w:proofErr w:type="spellEnd"/>
      <w:r>
        <w:t xml:space="preserve"> за день </w:t>
      </w:r>
    </w:p>
    <w:p w:rsidR="00A55379" w:rsidRDefault="00A55379" w:rsidP="00A55379">
      <w:pPr>
        <w:ind w:left="-15" w:right="630" w:firstLine="566"/>
      </w:pPr>
      <w:r>
        <w:t xml:space="preserve">Кожен документ відображає лише одну операцію – один рух грошових коштів. Тому для полегшення роботи в програмі передбачена спеціальний журнал «Банківські виписки» (Рис. 54). Вона призначена для реєстрації операцій надходження грошових коштів на розрахунковий рахунок організації та перерахування грошових коштів з розрахункового рахунку організації при отриманні з банку виписки за довільний період (день). </w:t>
      </w:r>
    </w:p>
    <w:p w:rsidR="00A55379" w:rsidRDefault="00A55379" w:rsidP="00A55379">
      <w:pPr>
        <w:spacing w:after="9" w:line="259" w:lineRule="auto"/>
        <w:ind w:left="0" w:right="922" w:firstLine="0"/>
        <w:jc w:val="right"/>
      </w:pPr>
      <w:r>
        <w:rPr>
          <w:noProof/>
        </w:rPr>
        <w:drawing>
          <wp:inline distT="0" distB="0" distL="0" distR="0" wp14:anchorId="2C5F6826" wp14:editId="632B4F99">
            <wp:extent cx="5706110" cy="2298065"/>
            <wp:effectExtent l="0" t="0" r="0" b="0"/>
            <wp:docPr id="8676" name="Picture 8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" name="Picture 86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pStyle w:val="2"/>
        <w:spacing w:after="180"/>
        <w:ind w:left="563" w:right="622"/>
      </w:pPr>
      <w:r>
        <w:lastRenderedPageBreak/>
        <w:t xml:space="preserve">Рис. 54 </w:t>
      </w:r>
    </w:p>
    <w:p w:rsidR="00A55379" w:rsidRDefault="00A55379" w:rsidP="00A55379">
      <w:pPr>
        <w:spacing w:after="32"/>
        <w:ind w:left="-15" w:right="630" w:firstLine="566"/>
      </w:pPr>
      <w:r>
        <w:t xml:space="preserve">У журналі показується список всіх створених користувачем документів надходження та списання грошових коштів. Можна проводити швидкий відбір за організацією та банківським рахунком, а також за датою, контрагентом і призначенням платежу. </w:t>
      </w:r>
    </w:p>
    <w:p w:rsidR="00A55379" w:rsidRDefault="00A55379" w:rsidP="00A55379">
      <w:pPr>
        <w:spacing w:after="28"/>
        <w:ind w:left="-15" w:right="630" w:firstLine="566"/>
      </w:pPr>
      <w:r>
        <w:t xml:space="preserve">У нижній частині журналу виводиться інформація про суми надходження та списання коштів за день, залишки на початок і кінець дня. Зокрема, наводиться сума за документами переміщення грошових коштів, які не відображаються в журналі, але впливають на залишок рахунків обліку грошових коштів на банківських рахунках організації: </w:t>
      </w:r>
    </w:p>
    <w:p w:rsidR="00A55379" w:rsidRDefault="00A55379" w:rsidP="00A55379">
      <w:pPr>
        <w:numPr>
          <w:ilvl w:val="0"/>
          <w:numId w:val="4"/>
        </w:numPr>
        <w:spacing w:after="2" w:line="324" w:lineRule="auto"/>
        <w:ind w:right="630" w:firstLine="566"/>
      </w:pPr>
      <w:r>
        <w:t xml:space="preserve">Списання з банківського рахунку, операція Переказ на інший рахунок організації, </w:t>
      </w:r>
    </w:p>
    <w:p w:rsidR="00A55379" w:rsidRDefault="00A55379" w:rsidP="00A55379">
      <w:pPr>
        <w:numPr>
          <w:ilvl w:val="0"/>
          <w:numId w:val="4"/>
        </w:numPr>
        <w:spacing w:after="93" w:line="259" w:lineRule="auto"/>
        <w:ind w:right="630" w:firstLine="566"/>
      </w:pPr>
      <w:r>
        <w:t xml:space="preserve">Прибутковий касовий ордер, операція Одержання готівки в банку, </w:t>
      </w:r>
    </w:p>
    <w:p w:rsidR="00A55379" w:rsidRDefault="00A55379" w:rsidP="00A55379">
      <w:pPr>
        <w:numPr>
          <w:ilvl w:val="0"/>
          <w:numId w:val="4"/>
        </w:numPr>
        <w:spacing w:after="48"/>
        <w:ind w:right="630" w:firstLine="566"/>
      </w:pPr>
      <w:r>
        <w:t xml:space="preserve">Видатковий касовий ордер, операція Внесок готівкою в банк.. Щоб додати нову виписку необхідно натиснути кнопку «Додати» в командній панелі форми обробки. Для кожної виписки вказується організація, розрахунковий рахунок і дата виписки. </w:t>
      </w:r>
    </w:p>
    <w:p w:rsidR="00A55379" w:rsidRDefault="00A55379" w:rsidP="00A55379">
      <w:pPr>
        <w:spacing w:after="0" w:line="326" w:lineRule="auto"/>
        <w:ind w:left="-15" w:right="630" w:firstLine="566"/>
      </w:pPr>
      <w:r>
        <w:t xml:space="preserve">За посиланням В тому числі переміщення можна переглянути список документів. При необхідності можна скоригувати суми документів. </w:t>
      </w:r>
    </w:p>
    <w:p w:rsidR="00A55379" w:rsidRDefault="00A55379" w:rsidP="00A55379">
      <w:pPr>
        <w:spacing w:after="38"/>
        <w:ind w:left="-15" w:right="630" w:firstLine="566"/>
      </w:pPr>
      <w:r>
        <w:t xml:space="preserve">Надходження та списання безготівкових коштів вводяться в банківську виписку автоматично з допомогою завантаження даних з програми Клієнт банку </w:t>
      </w:r>
    </w:p>
    <w:p w:rsidR="00A55379" w:rsidRDefault="00A55379" w:rsidP="00A55379">
      <w:pPr>
        <w:ind w:left="-15" w:right="630" w:firstLine="566"/>
      </w:pPr>
      <w:r>
        <w:t xml:space="preserve">Користувач також може відображати надходження та списання коштів на підставі виписки банку вручну. При надходженні виписки рахунку з банку користувач відкриває журнал банківських виписок і вводить документи надходження і (або) списання за кнопками + Надходження і — Списання. </w:t>
      </w:r>
    </w:p>
    <w:p w:rsidR="00A55379" w:rsidRDefault="00A55379" w:rsidP="00A55379">
      <w:pPr>
        <w:spacing w:after="9" w:line="259" w:lineRule="auto"/>
        <w:ind w:left="-283" w:right="365" w:firstLine="0"/>
        <w:jc w:val="right"/>
      </w:pPr>
      <w:r>
        <w:rPr>
          <w:noProof/>
        </w:rPr>
        <w:drawing>
          <wp:inline distT="0" distB="0" distL="0" distR="0" wp14:anchorId="0F99799A" wp14:editId="0DDAB455">
            <wp:extent cx="6284595" cy="2211070"/>
            <wp:effectExtent l="0" t="0" r="0" b="0"/>
            <wp:docPr id="8746" name="Picture 8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" name="Picture 87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pStyle w:val="2"/>
        <w:ind w:left="563" w:right="622"/>
      </w:pPr>
      <w:r>
        <w:lastRenderedPageBreak/>
        <w:t xml:space="preserve">Рис. 55 </w:t>
      </w:r>
    </w:p>
    <w:p w:rsidR="00A55379" w:rsidRDefault="00A55379" w:rsidP="00A55379">
      <w:pPr>
        <w:ind w:left="-15" w:right="630" w:firstLine="566"/>
      </w:pPr>
      <w:r>
        <w:t xml:space="preserve">На верхній частині документа по кнопці «Підібрати» відкривається список неоплачених платіжних доручень з можливістю сортування за номером банківського рахунку та датою (Рис. 55). По кнопці «Сформувати рядки виписки» автоматично формують документи списання. </w:t>
      </w:r>
    </w:p>
    <w:p w:rsidR="00A55379" w:rsidRDefault="00A55379" w:rsidP="00A55379">
      <w:pPr>
        <w:ind w:left="-15" w:right="630" w:firstLine="566"/>
      </w:pPr>
      <w:r>
        <w:t>Кнопки (</w:t>
      </w:r>
      <w:proofErr w:type="spellStart"/>
      <w:r>
        <w:t>Дт</w:t>
      </w:r>
      <w:proofErr w:type="spellEnd"/>
      <w:r>
        <w:t xml:space="preserve"> / </w:t>
      </w:r>
      <w:proofErr w:type="spellStart"/>
      <w:r>
        <w:t>Кт</w:t>
      </w:r>
      <w:proofErr w:type="spellEnd"/>
      <w:r>
        <w:t xml:space="preserve">) в формі «Банківські виписки» дозволяють переглянути проводки з бухгалтерського та податкового обліку, сформовані всіма документами, що входять в виписку. </w:t>
      </w:r>
    </w:p>
    <w:p w:rsidR="00A55379" w:rsidRDefault="00A55379" w:rsidP="00A55379">
      <w:pPr>
        <w:spacing w:after="0" w:line="326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Створіть документ «Списання з банківського рахунку» за допомогою підбору неоплачених платіжних доручень (Банк і каса → </w:t>
      </w:r>
    </w:p>
    <w:p w:rsidR="00A55379" w:rsidRDefault="00A55379" w:rsidP="00A55379">
      <w:pPr>
        <w:spacing w:after="9"/>
        <w:ind w:left="-5" w:right="630"/>
      </w:pPr>
      <w:r>
        <w:t xml:space="preserve">Банківські виписки) (Рис. 56). </w:t>
      </w:r>
    </w:p>
    <w:p w:rsidR="00A55379" w:rsidRDefault="00A55379" w:rsidP="00A55379">
      <w:pPr>
        <w:spacing w:after="9" w:line="259" w:lineRule="auto"/>
        <w:ind w:left="-283" w:right="365" w:firstLine="0"/>
        <w:jc w:val="right"/>
      </w:pPr>
      <w:r>
        <w:rPr>
          <w:noProof/>
        </w:rPr>
        <w:drawing>
          <wp:inline distT="0" distB="0" distL="0" distR="0" wp14:anchorId="1A44DAE0" wp14:editId="5E8D8D7A">
            <wp:extent cx="6284595" cy="3712210"/>
            <wp:effectExtent l="0" t="0" r="0" b="0"/>
            <wp:docPr id="8785" name="Picture 8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" name="Picture 878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pStyle w:val="2"/>
        <w:ind w:left="563" w:right="622"/>
      </w:pPr>
      <w:r>
        <w:t xml:space="preserve">Рис. 56 </w:t>
      </w:r>
    </w:p>
    <w:p w:rsidR="00A55379" w:rsidRDefault="00A55379" w:rsidP="00A55379">
      <w:pPr>
        <w:tabs>
          <w:tab w:val="center" w:pos="2934"/>
          <w:tab w:val="center" w:pos="5060"/>
        </w:tabs>
        <w:spacing w:after="12" w:line="331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3.4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 xml:space="preserve">Облік готівкових коштів </w:t>
      </w:r>
    </w:p>
    <w:p w:rsidR="00A55379" w:rsidRDefault="00A55379" w:rsidP="00A55379">
      <w:pPr>
        <w:spacing w:after="12" w:line="331" w:lineRule="auto"/>
        <w:ind w:left="566" w:right="2995" w:firstLine="2192"/>
      </w:pPr>
      <w:r>
        <w:t xml:space="preserve">До основних операцій з готівкою відносять: </w:t>
      </w:r>
    </w:p>
    <w:p w:rsidR="00A55379" w:rsidRDefault="00A55379" w:rsidP="00A55379">
      <w:pPr>
        <w:numPr>
          <w:ilvl w:val="0"/>
          <w:numId w:val="5"/>
        </w:numPr>
        <w:spacing w:after="45"/>
        <w:ind w:right="630" w:firstLine="566"/>
      </w:pPr>
      <w:r>
        <w:t xml:space="preserve">Надходження готівки в касу – «Прибутковий касовий ордер» (ПКО), </w:t>
      </w:r>
    </w:p>
    <w:p w:rsidR="00A55379" w:rsidRDefault="00A55379" w:rsidP="00A55379">
      <w:pPr>
        <w:numPr>
          <w:ilvl w:val="0"/>
          <w:numId w:val="5"/>
        </w:numPr>
        <w:spacing w:after="25"/>
        <w:ind w:right="630" w:firstLine="566"/>
      </w:pPr>
      <w:r>
        <w:t xml:space="preserve">Видача готівки з каси – «Видатковий касовий ордер» (РКО). </w:t>
      </w:r>
    </w:p>
    <w:p w:rsidR="00A55379" w:rsidRDefault="00A55379" w:rsidP="00A55379">
      <w:pPr>
        <w:spacing w:after="98"/>
        <w:ind w:left="576" w:right="630"/>
      </w:pPr>
      <w:r>
        <w:t xml:space="preserve">За допомогою реквізиту </w:t>
      </w:r>
      <w:r>
        <w:rPr>
          <w:i/>
        </w:rPr>
        <w:t xml:space="preserve">Рахунок обліку </w:t>
      </w:r>
      <w:r>
        <w:t xml:space="preserve">визначається валюта операції:  </w:t>
      </w:r>
    </w:p>
    <w:p w:rsidR="00A55379" w:rsidRDefault="00A55379" w:rsidP="00A55379">
      <w:pPr>
        <w:numPr>
          <w:ilvl w:val="0"/>
          <w:numId w:val="5"/>
        </w:numPr>
        <w:spacing w:after="50"/>
        <w:ind w:right="630" w:firstLine="566"/>
      </w:pPr>
      <w:r>
        <w:t xml:space="preserve">301 рахунок – суми відображаються в гривні </w:t>
      </w:r>
    </w:p>
    <w:p w:rsidR="00A55379" w:rsidRDefault="00A55379" w:rsidP="00A55379">
      <w:pPr>
        <w:numPr>
          <w:ilvl w:val="0"/>
          <w:numId w:val="5"/>
        </w:numPr>
        <w:spacing w:after="0" w:line="326" w:lineRule="auto"/>
        <w:ind w:right="630" w:firstLine="566"/>
      </w:pPr>
      <w:r>
        <w:t xml:space="preserve">302 рахунок – стає доступним реквізит </w:t>
      </w:r>
      <w:r>
        <w:rPr>
          <w:i/>
        </w:rPr>
        <w:t>Валюта</w:t>
      </w:r>
      <w:r>
        <w:t xml:space="preserve">, в якому потрібно вказати іноземну валюту. </w:t>
      </w:r>
    </w:p>
    <w:p w:rsidR="00A55379" w:rsidRDefault="00A55379" w:rsidP="00A55379">
      <w:pPr>
        <w:ind w:left="576" w:right="630"/>
      </w:pPr>
      <w:r>
        <w:lastRenderedPageBreak/>
        <w:t xml:space="preserve">Реквізит </w:t>
      </w:r>
      <w:r>
        <w:rPr>
          <w:i/>
        </w:rPr>
        <w:t>Стаття РГК</w:t>
      </w:r>
      <w:r>
        <w:t xml:space="preserve"> – стаття руху грошових коштів. </w:t>
      </w:r>
    </w:p>
    <w:p w:rsidR="00A55379" w:rsidRDefault="00A55379" w:rsidP="00A55379">
      <w:pPr>
        <w:spacing w:after="0" w:line="326" w:lineRule="auto"/>
        <w:ind w:left="-15" w:right="630" w:firstLine="566"/>
      </w:pPr>
      <w:r>
        <w:t>Реквізиту «</w:t>
      </w:r>
      <w:r>
        <w:rPr>
          <w:i/>
        </w:rPr>
        <w:t>Призначення коштів</w:t>
      </w:r>
      <w:r>
        <w:t xml:space="preserve">» використовується для формування звітів про цільове використання готівкових коштів. </w:t>
      </w:r>
    </w:p>
    <w:p w:rsidR="00A55379" w:rsidRDefault="00A55379" w:rsidP="00A55379">
      <w:pPr>
        <w:spacing w:after="0" w:line="323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Оприбуткуйте з розрахункового рахунку в касу організації кошти (Банк і каса → Прибуткові касові ордери) в сумі 5 000,00 грн (Рис. 57). </w:t>
      </w:r>
    </w:p>
    <w:p w:rsidR="00A55379" w:rsidRDefault="00A55379" w:rsidP="00A55379">
      <w:pPr>
        <w:spacing w:after="9" w:line="259" w:lineRule="auto"/>
        <w:ind w:left="-283" w:right="365" w:firstLine="0"/>
        <w:jc w:val="right"/>
      </w:pPr>
      <w:r>
        <w:rPr>
          <w:noProof/>
        </w:rPr>
        <w:drawing>
          <wp:inline distT="0" distB="0" distL="0" distR="0" wp14:anchorId="777973CF" wp14:editId="095CBB06">
            <wp:extent cx="6284595" cy="2743200"/>
            <wp:effectExtent l="0" t="0" r="0" b="0"/>
            <wp:docPr id="8888" name="Picture 8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" name="Picture 888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pStyle w:val="2"/>
        <w:spacing w:after="178"/>
        <w:ind w:left="563" w:right="622"/>
      </w:pPr>
      <w:r>
        <w:t xml:space="preserve">Рис. 57 </w:t>
      </w:r>
    </w:p>
    <w:p w:rsidR="00A55379" w:rsidRDefault="00A55379" w:rsidP="00A55379">
      <w:pPr>
        <w:spacing w:after="0" w:line="321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Видайте з каси (Банк і каса → Видаткові касові ордери) 2 000,00 грн підзвіт співробітнику Левко (Рис. 58). </w:t>
      </w:r>
    </w:p>
    <w:p w:rsidR="00A55379" w:rsidRDefault="00A55379" w:rsidP="00A55379">
      <w:pPr>
        <w:spacing w:after="9" w:line="259" w:lineRule="auto"/>
        <w:ind w:left="0" w:right="1481" w:firstLine="0"/>
        <w:jc w:val="right"/>
      </w:pPr>
      <w:r>
        <w:rPr>
          <w:noProof/>
        </w:rPr>
        <w:drawing>
          <wp:inline distT="0" distB="0" distL="0" distR="0" wp14:anchorId="457F7B2B" wp14:editId="46A4FDFB">
            <wp:extent cx="4995545" cy="1988820"/>
            <wp:effectExtent l="0" t="0" r="0" b="0"/>
            <wp:docPr id="8912" name="Picture 8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" name="Picture 89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pStyle w:val="2"/>
        <w:ind w:left="563" w:right="622"/>
      </w:pPr>
      <w:r>
        <w:t xml:space="preserve">Рис. 58 </w:t>
      </w:r>
    </w:p>
    <w:p w:rsidR="00A55379" w:rsidRDefault="00A55379" w:rsidP="00A55379">
      <w:pPr>
        <w:spacing w:after="0" w:line="323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Проведіть аналіз рахунка 301 (Звіти → Обороти рахунку) за поточний місяць з деталізацією по дням (Рис. 59). </w:t>
      </w:r>
    </w:p>
    <w:p w:rsidR="00A55379" w:rsidRDefault="00A55379" w:rsidP="00A55379">
      <w:pPr>
        <w:spacing w:after="9" w:line="259" w:lineRule="auto"/>
        <w:ind w:left="-283" w:right="355" w:firstLine="0"/>
        <w:jc w:val="right"/>
      </w:pPr>
      <w:r>
        <w:rPr>
          <w:noProof/>
        </w:rPr>
        <w:lastRenderedPageBreak/>
        <w:drawing>
          <wp:inline distT="0" distB="0" distL="0" distR="0" wp14:anchorId="42B06C76" wp14:editId="053DC263">
            <wp:extent cx="6290945" cy="2374265"/>
            <wp:effectExtent l="0" t="0" r="0" b="0"/>
            <wp:docPr id="8956" name="Picture 8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" name="Picture 895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pStyle w:val="2"/>
        <w:spacing w:after="179"/>
        <w:ind w:left="563" w:right="622"/>
      </w:pPr>
      <w:r>
        <w:t xml:space="preserve">Рис. 59 </w:t>
      </w:r>
    </w:p>
    <w:p w:rsidR="00A55379" w:rsidRDefault="00A55379" w:rsidP="00A55379">
      <w:pPr>
        <w:spacing w:after="0" w:line="320" w:lineRule="auto"/>
        <w:ind w:left="-15" w:right="630" w:firstLine="566"/>
      </w:pPr>
      <w:r>
        <w:rPr>
          <w:b/>
          <w:i/>
          <w:u w:val="single" w:color="000000"/>
        </w:rPr>
        <w:t>Приклад:</w:t>
      </w:r>
      <w:r>
        <w:t xml:space="preserve"> Сформуйте касову книгу (Банк і каса → Касова книга) за день проведених операцій (Рис. 60).  </w:t>
      </w:r>
    </w:p>
    <w:p w:rsidR="00A55379" w:rsidRDefault="00A55379" w:rsidP="00A55379">
      <w:pPr>
        <w:spacing w:after="9" w:line="259" w:lineRule="auto"/>
        <w:ind w:left="-283" w:right="365" w:firstLine="0"/>
        <w:jc w:val="right"/>
      </w:pPr>
      <w:r>
        <w:rPr>
          <w:noProof/>
        </w:rPr>
        <w:drawing>
          <wp:inline distT="0" distB="0" distL="0" distR="0" wp14:anchorId="2D570970" wp14:editId="7F11CD5F">
            <wp:extent cx="6284595" cy="2917190"/>
            <wp:effectExtent l="0" t="0" r="0" b="0"/>
            <wp:docPr id="8974" name="Picture 8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" name="Picture 897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459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55379" w:rsidRDefault="00A55379" w:rsidP="00A55379">
      <w:pPr>
        <w:spacing w:after="126" w:line="265" w:lineRule="auto"/>
        <w:ind w:left="563" w:right="622"/>
        <w:jc w:val="center"/>
      </w:pPr>
      <w:r>
        <w:rPr>
          <w:i/>
        </w:rPr>
        <w:t xml:space="preserve">Рис. 60 </w:t>
      </w:r>
    </w:p>
    <w:p w:rsidR="00EC5B9A" w:rsidRDefault="00EC5B9A">
      <w:bookmarkStart w:id="0" w:name="_GoBack"/>
      <w:bookmarkEnd w:id="0"/>
    </w:p>
    <w:sectPr w:rsidR="00EC5B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E7521"/>
    <w:multiLevelType w:val="hybridMultilevel"/>
    <w:tmpl w:val="9ACC31D0"/>
    <w:lvl w:ilvl="0" w:tplc="60C8463A">
      <w:start w:val="1"/>
      <w:numFmt w:val="bullet"/>
      <w:lvlText w:val="●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88F884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2A851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D2921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1C82E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86448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B2152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5CD3D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98205D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7C41E4"/>
    <w:multiLevelType w:val="hybridMultilevel"/>
    <w:tmpl w:val="F82C5774"/>
    <w:lvl w:ilvl="0" w:tplc="906E5FF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5E5B4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00850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DE5B2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984DB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F2070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ACB34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0E6A7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266F4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39049F"/>
    <w:multiLevelType w:val="hybridMultilevel"/>
    <w:tmpl w:val="04544BF0"/>
    <w:lvl w:ilvl="0" w:tplc="94286204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6C0178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3EFF62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B002CE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8E1D76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8E4AD2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C4BBE8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7E8E8C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B03A88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77E01FF"/>
    <w:multiLevelType w:val="hybridMultilevel"/>
    <w:tmpl w:val="77FC8A56"/>
    <w:lvl w:ilvl="0" w:tplc="70AC05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E67EC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607E6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AC0566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804D8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EA973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F46DA2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84D82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2A41A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9034EE3"/>
    <w:multiLevelType w:val="hybridMultilevel"/>
    <w:tmpl w:val="301C21F6"/>
    <w:lvl w:ilvl="0" w:tplc="29C23D6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54696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E28A3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F8886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6EB6B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166D1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1D0485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32C70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F03E3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D8B"/>
    <w:rsid w:val="0080304A"/>
    <w:rsid w:val="00A55379"/>
    <w:rsid w:val="00EC5B9A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B5082-D225-4920-B76C-6DF7424C9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379"/>
    <w:pPr>
      <w:spacing w:after="71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  <w:lang w:eastAsia="uk-UA"/>
    </w:rPr>
  </w:style>
  <w:style w:type="paragraph" w:styleId="1">
    <w:name w:val="heading 1"/>
    <w:next w:val="a"/>
    <w:link w:val="10"/>
    <w:uiPriority w:val="9"/>
    <w:unhideWhenUsed/>
    <w:qFormat/>
    <w:rsid w:val="00A55379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BFBFBF"/>
      <w:spacing w:after="101"/>
      <w:ind w:left="684" w:hanging="10"/>
      <w:outlineLvl w:val="0"/>
    </w:pPr>
    <w:rPr>
      <w:rFonts w:ascii="Times New Roman" w:eastAsia="Times New Roman" w:hAnsi="Times New Roman" w:cs="Times New Roman"/>
      <w:i/>
      <w:color w:val="000000"/>
      <w:sz w:val="28"/>
      <w:lang w:eastAsia="uk-UA"/>
    </w:rPr>
  </w:style>
  <w:style w:type="paragraph" w:styleId="2">
    <w:name w:val="heading 2"/>
    <w:next w:val="a"/>
    <w:link w:val="20"/>
    <w:uiPriority w:val="9"/>
    <w:unhideWhenUsed/>
    <w:qFormat/>
    <w:rsid w:val="00A55379"/>
    <w:pPr>
      <w:keepNext/>
      <w:keepLines/>
      <w:spacing w:after="126" w:line="265" w:lineRule="auto"/>
      <w:ind w:left="2931" w:right="2475" w:hanging="10"/>
      <w:jc w:val="center"/>
      <w:outlineLvl w:val="1"/>
    </w:pPr>
    <w:rPr>
      <w:rFonts w:ascii="Times New Roman" w:eastAsia="Times New Roman" w:hAnsi="Times New Roman" w:cs="Times New Roman"/>
      <w:i/>
      <w:color w:val="000000"/>
      <w:sz w:val="28"/>
      <w:lang w:eastAsia="uk-UA"/>
    </w:rPr>
  </w:style>
  <w:style w:type="paragraph" w:styleId="3">
    <w:name w:val="heading 3"/>
    <w:next w:val="a"/>
    <w:link w:val="30"/>
    <w:uiPriority w:val="9"/>
    <w:unhideWhenUsed/>
    <w:qFormat/>
    <w:rsid w:val="00A55379"/>
    <w:pPr>
      <w:keepNext/>
      <w:keepLines/>
      <w:spacing w:after="92"/>
      <w:ind w:left="10" w:right="11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5379"/>
    <w:rPr>
      <w:rFonts w:ascii="Times New Roman" w:eastAsia="Times New Roman" w:hAnsi="Times New Roman" w:cs="Times New Roman"/>
      <w:i/>
      <w:color w:val="000000"/>
      <w:sz w:val="28"/>
      <w:shd w:val="clear" w:color="auto" w:fill="BFBFBF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A55379"/>
    <w:rPr>
      <w:rFonts w:ascii="Times New Roman" w:eastAsia="Times New Roman" w:hAnsi="Times New Roman" w:cs="Times New Roman"/>
      <w:i/>
      <w:color w:val="000000"/>
      <w:sz w:val="28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A55379"/>
    <w:rPr>
      <w:rFonts w:ascii="Times New Roman" w:eastAsia="Times New Roman" w:hAnsi="Times New Roman" w:cs="Times New Roman"/>
      <w:b/>
      <w:color w:val="000000"/>
      <w:sz w:val="28"/>
      <w:lang w:eastAsia="uk-UA"/>
    </w:rPr>
  </w:style>
  <w:style w:type="table" w:customStyle="1" w:styleId="TableGrid">
    <w:name w:val="TableGrid"/>
    <w:rsid w:val="00A55379"/>
    <w:pPr>
      <w:spacing w:after="0" w:line="240" w:lineRule="auto"/>
    </w:pPr>
    <w:rPr>
      <w:rFonts w:eastAsiaTheme="minorEastAsia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6528</Words>
  <Characters>3722</Characters>
  <Application>Microsoft Office Word</Application>
  <DocSecurity>0</DocSecurity>
  <Lines>31</Lines>
  <Paragraphs>20</Paragraphs>
  <ScaleCrop>false</ScaleCrop>
  <Company/>
  <LinksUpToDate>false</LinksUpToDate>
  <CharactersWithSpaces>10230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2020-04-30T12:30:00Z</dcterms:created>
  <dcterms:modified xsi:type="dcterms:W3CDTF">2020-04-30T12:30:00Z</dcterms:modified>
</cp:coreProperties>
</file>