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EDC" w:rsidRDefault="00D77154">
      <w:pPr>
        <w:rPr>
          <w:lang w:val="uk-UA"/>
        </w:rPr>
      </w:pPr>
      <w:r w:rsidRPr="00D77154">
        <w:object w:dxaOrig="9900" w:dyaOrig="13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693pt" o:ole="">
            <v:imagedata r:id="rId5" o:title=""/>
          </v:shape>
          <o:OLEObject Type="Embed" ProgID="Word.Picture.8" ShapeID="_x0000_i1025" DrawAspect="Content" ObjectID="_1646921751" r:id="rId6"/>
        </w:object>
      </w:r>
    </w:p>
    <w:p w:rsidR="00E54D04" w:rsidRPr="00060DC2" w:rsidRDefault="00E54D04" w:rsidP="00E54D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54D04">
        <w:rPr>
          <w:rFonts w:ascii="Times New Roman" w:hAnsi="Times New Roman" w:cs="Times New Roman"/>
          <w:sz w:val="28"/>
          <w:szCs w:val="28"/>
          <w:lang w:val="uk-UA"/>
        </w:rPr>
        <w:lastRenderedPageBreak/>
        <w:t>Товари, поміщені в митний режим експорту, втрачають статус українських з моменту їх фактичного вивезення за</w:t>
      </w:r>
      <w:r w:rsidR="00060DC2">
        <w:rPr>
          <w:rFonts w:ascii="Times New Roman" w:hAnsi="Times New Roman" w:cs="Times New Roman"/>
          <w:sz w:val="28"/>
          <w:szCs w:val="28"/>
          <w:lang w:val="uk-UA"/>
        </w:rPr>
        <w:t xml:space="preserve"> межі митної території України.</w:t>
      </w:r>
    </w:p>
    <w:p w:rsidR="00D77154" w:rsidRDefault="00E54D04" w:rsidP="00E54D04">
      <w:pPr>
        <w:rPr>
          <w:lang w:val="en-US"/>
        </w:rPr>
      </w:pPr>
      <w:r w:rsidRPr="00E54D04">
        <w:rPr>
          <w:rFonts w:ascii="Times New Roman" w:hAnsi="Times New Roman" w:cs="Times New Roman"/>
          <w:sz w:val="28"/>
          <w:szCs w:val="28"/>
          <w:lang w:val="uk-UA"/>
        </w:rPr>
        <w:t>Товари, що знаходяться за межами митної території України, втрачають статус українських з моменту поміщення їх у митний режим експорту</w:t>
      </w:r>
      <w:r w:rsidRPr="00E54D04">
        <w:rPr>
          <w:lang w:val="uk-UA"/>
        </w:rPr>
        <w:t>.</w:t>
      </w:r>
    </w:p>
    <w:p w:rsidR="00060DC2" w:rsidRDefault="00060DC2" w:rsidP="00E54D0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165600" cy="33782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t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60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Для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поміщення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особа, </w:t>
      </w:r>
      <w:proofErr w:type="gram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 яку</w:t>
      </w:r>
      <w:proofErr w:type="gram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покладається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дотримання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вимог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режиму, повинна: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</w:p>
    <w:p w:rsidR="00060DC2" w:rsidRPr="00060DC2" w:rsidRDefault="00060DC2" w:rsidP="00060DC2">
      <w:pPr>
        <w:numPr>
          <w:ilvl w:val="0"/>
          <w:numId w:val="2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подати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митниці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здійснює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випуск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митному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режимі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такі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2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якими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gram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 закону</w:t>
      </w:r>
      <w:proofErr w:type="gram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обкладаються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час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межі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митному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режимі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2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виконати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вимоги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щодо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застосування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передбачених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законом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заходів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нетарифного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регулювання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діяльності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2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випадках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установлених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законодавством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подати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митниці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ДФС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дозвіл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проведення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операції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третю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країну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реекспорт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).</w:t>
      </w:r>
    </w:p>
    <w:p w:rsidR="00060DC2" w:rsidRPr="00060DC2" w:rsidRDefault="00060DC2" w:rsidP="00060DC2">
      <w:pPr>
        <w:numPr>
          <w:ilvl w:val="0"/>
          <w:numId w:val="2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Митниці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ДФС не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вимагають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обов’язкового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підтвердження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прибуття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gram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 пункт</w:t>
      </w:r>
      <w:proofErr w:type="gram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межами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.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четвертою ст. 83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визначено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 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разі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встановлення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актами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законодавства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заборон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обмежень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щодо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межі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:</w:t>
      </w:r>
    </w:p>
    <w:p w:rsidR="00060DC2" w:rsidRPr="00060DC2" w:rsidRDefault="00060DC2" w:rsidP="00060DC2">
      <w:pPr>
        <w:numPr>
          <w:ilvl w:val="0"/>
          <w:numId w:val="3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поміщені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—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випускаються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межі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умов,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діяли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момент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поміщення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цих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зазначений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режим;</w:t>
      </w:r>
    </w:p>
    <w:p w:rsidR="00060DC2" w:rsidRPr="00060DC2" w:rsidRDefault="00060DC2" w:rsidP="00060DC2">
      <w:pPr>
        <w:numPr>
          <w:ilvl w:val="0"/>
          <w:numId w:val="3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lastRenderedPageBreak/>
        <w:t>фактично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випущені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межі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періодичними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деклараціями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—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підлягають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поміщенню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експорту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умов,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діяли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момент фактичного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цих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.</w:t>
      </w:r>
    </w:p>
    <w:p w:rsidR="00060DC2" w:rsidRPr="00060DC2" w:rsidRDefault="00060DC2" w:rsidP="00060DC2">
      <w:p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</w:p>
    <w:p w:rsid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Перелік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відомостей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зазначаються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визначено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восьмою ст. 257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третьою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ст. 335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кодексу.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Зокрема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вносяться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такі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у тому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числі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вигляді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кодів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: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</w:p>
    <w:p w:rsidR="00060DC2" w:rsidRPr="00060DC2" w:rsidRDefault="00060DC2" w:rsidP="00060DC2">
      <w:pPr>
        <w:numPr>
          <w:ilvl w:val="0"/>
          <w:numId w:val="4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gram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про заявлений</w:t>
      </w:r>
      <w:proofErr w:type="gram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режим, тип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особливості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переміщення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4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про декларанта,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уповноважену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особу, яка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склала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відправника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одержувача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перевізника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сторони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 (контракту)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документа,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використовується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міжнародній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практиці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замість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 (контракту), а 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разі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договір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(контракт)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укладено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підставі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посередницького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договору, —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також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крім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сторони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 (контракту), сторону такого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посередницького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договору;</w:t>
      </w:r>
    </w:p>
    <w:p w:rsidR="00060DC2" w:rsidRPr="00060DC2" w:rsidRDefault="00060DC2" w:rsidP="00060DC2">
      <w:pPr>
        <w:numPr>
          <w:ilvl w:val="0"/>
          <w:numId w:val="4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найменування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країн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відправлення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4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транспортні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засоби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комерційного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використовуються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для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міжнародного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та/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перевезення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територією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контролем,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контейнери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5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: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найменування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звичайний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торговельний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опис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дає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змогу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ідентифікувати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класифікувати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товар;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торговельна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марка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виробник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наявності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товаросупровідних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комерційних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документах);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код товару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згідно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УКТ ЗЕД;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найменування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походження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наявності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);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опис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упаковки (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кількість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, вид);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кількість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кілограмах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(вага брутто та вага нетто)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одиницях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виміру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фактурна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вартість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вартість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метод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уповноважені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банки декларанта;</w:t>
      </w:r>
    </w:p>
    <w:p w:rsidR="00060DC2" w:rsidRPr="00060DC2" w:rsidRDefault="00060DC2" w:rsidP="00060DC2">
      <w:pPr>
        <w:pStyle w:val="a6"/>
        <w:numPr>
          <w:ilvl w:val="1"/>
          <w:numId w:val="8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статистична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вартість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6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нарахування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, 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також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застосування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заходів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гарантування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: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ставки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застосування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пільг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щодо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суми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lastRenderedPageBreak/>
        <w:t>офіційний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курс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валюти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іноземної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валюти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,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складено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рахунки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визначений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ст. 3</w:t>
      </w: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bdr w:val="none" w:sz="0" w:space="0" w:color="auto" w:frame="1"/>
          <w:vertAlign w:val="superscript"/>
          <w:lang w:eastAsia="ru-RU"/>
        </w:rPr>
        <w:t>1</w:t>
      </w: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кодексу;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спосіб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особливості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нарахування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pStyle w:val="a6"/>
        <w:numPr>
          <w:ilvl w:val="0"/>
          <w:numId w:val="9"/>
        </w:num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спосіб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забезпечення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платежів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разі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застосування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заходів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гарантування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сплати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);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</w:p>
    <w:p w:rsidR="00060DC2" w:rsidRPr="00060DC2" w:rsidRDefault="00060DC2" w:rsidP="00060DC2">
      <w:pPr>
        <w:numPr>
          <w:ilvl w:val="0"/>
          <w:numId w:val="7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договір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(контракт)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документ,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використовується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міжнародній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практиці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замість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договору (контракту),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його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основні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умови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7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підтверджують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дотримання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встановлених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законодавством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заборон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обмежень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щодо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переміщення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через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кордон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України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7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передбачені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третьою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ст. 335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цього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Кодексу;</w:t>
      </w:r>
    </w:p>
    <w:p w:rsidR="00060DC2" w:rsidRPr="00060DC2" w:rsidRDefault="00060DC2" w:rsidP="00060DC2">
      <w:pPr>
        <w:numPr>
          <w:ilvl w:val="0"/>
          <w:numId w:val="7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довідковий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номер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бажанням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декларанта).</w:t>
      </w:r>
    </w:p>
    <w:p w:rsidR="00114F09" w:rsidRDefault="00114F09" w:rsidP="00114F09">
      <w:pPr>
        <w:pStyle w:val="a7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lang w:val="uk-UA"/>
        </w:rPr>
      </w:pPr>
    </w:p>
    <w:p w:rsidR="00114F09" w:rsidRPr="00114F09" w:rsidRDefault="00114F09" w:rsidP="00114F09">
      <w:pPr>
        <w:pStyle w:val="a7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  <w:lang w:val="uk-UA"/>
        </w:rPr>
      </w:pPr>
      <w:proofErr w:type="spellStart"/>
      <w:r w:rsidRPr="00114F09">
        <w:rPr>
          <w:color w:val="000000"/>
          <w:sz w:val="28"/>
          <w:szCs w:val="28"/>
        </w:rPr>
        <w:t>Операції</w:t>
      </w:r>
      <w:proofErr w:type="spellEnd"/>
      <w:r w:rsidRPr="00114F09">
        <w:rPr>
          <w:color w:val="000000"/>
          <w:sz w:val="28"/>
          <w:szCs w:val="28"/>
        </w:rPr>
        <w:t xml:space="preserve"> з </w:t>
      </w:r>
      <w:proofErr w:type="spellStart"/>
      <w:r w:rsidRPr="00114F09">
        <w:rPr>
          <w:color w:val="000000"/>
          <w:sz w:val="28"/>
          <w:szCs w:val="28"/>
        </w:rPr>
        <w:t>вивезення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товарів</w:t>
      </w:r>
      <w:proofErr w:type="spellEnd"/>
      <w:r w:rsidRPr="00114F09">
        <w:rPr>
          <w:color w:val="000000"/>
          <w:sz w:val="28"/>
          <w:szCs w:val="28"/>
        </w:rPr>
        <w:t xml:space="preserve"> у </w:t>
      </w:r>
      <w:proofErr w:type="spellStart"/>
      <w:r w:rsidRPr="00114F09">
        <w:rPr>
          <w:color w:val="000000"/>
          <w:sz w:val="28"/>
          <w:szCs w:val="28"/>
        </w:rPr>
        <w:t>митному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режимі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експорту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оподатковуються</w:t>
      </w:r>
      <w:proofErr w:type="spellEnd"/>
      <w:r w:rsidRPr="00114F09">
        <w:rPr>
          <w:color w:val="000000"/>
          <w:sz w:val="28"/>
          <w:szCs w:val="28"/>
        </w:rPr>
        <w:t xml:space="preserve"> ПДВ за </w:t>
      </w:r>
      <w:proofErr w:type="spellStart"/>
      <w:r w:rsidRPr="00114F09">
        <w:rPr>
          <w:color w:val="000000"/>
          <w:sz w:val="28"/>
          <w:szCs w:val="28"/>
        </w:rPr>
        <w:t>нульовою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ставкою</w:t>
      </w:r>
      <w:proofErr w:type="spellEnd"/>
      <w:r w:rsidRPr="00114F09">
        <w:rPr>
          <w:color w:val="000000"/>
          <w:sz w:val="28"/>
          <w:szCs w:val="28"/>
          <w:lang w:val="uk-UA"/>
        </w:rPr>
        <w:t>.</w:t>
      </w:r>
      <w:r w:rsidRPr="00114F09">
        <w:rPr>
          <w:color w:val="000000"/>
          <w:sz w:val="28"/>
          <w:szCs w:val="28"/>
        </w:rPr>
        <w:t xml:space="preserve"> </w:t>
      </w:r>
      <w:r w:rsidRPr="00114F09">
        <w:rPr>
          <w:color w:val="000000"/>
          <w:sz w:val="28"/>
          <w:szCs w:val="28"/>
          <w:lang w:val="uk-UA"/>
        </w:rPr>
        <w:t>При цьому датою виникнення податкових зобов'язань є дата оформлення</w:t>
      </w:r>
      <w:r w:rsidRPr="00114F09">
        <w:rPr>
          <w:color w:val="000000"/>
          <w:sz w:val="28"/>
          <w:szCs w:val="28"/>
        </w:rPr>
        <w:t> </w:t>
      </w:r>
      <w:hyperlink r:id="rId8" w:history="1">
        <w:r w:rsidRPr="00114F09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митної декларації</w:t>
        </w:r>
      </w:hyperlink>
      <w:r w:rsidRPr="00114F09">
        <w:rPr>
          <w:color w:val="000000"/>
          <w:sz w:val="28"/>
          <w:szCs w:val="28"/>
          <w:lang w:val="uk-UA"/>
        </w:rPr>
        <w:t>, що засвідчує факт перетинання митного кордону України, оформленої відповідно</w:t>
      </w:r>
      <w:r>
        <w:rPr>
          <w:color w:val="000000"/>
          <w:sz w:val="28"/>
          <w:szCs w:val="28"/>
          <w:lang w:val="uk-UA"/>
        </w:rPr>
        <w:t xml:space="preserve"> до вимог митного законодавства</w:t>
      </w:r>
      <w:r w:rsidRPr="00114F09">
        <w:rPr>
          <w:color w:val="000000"/>
          <w:sz w:val="28"/>
          <w:szCs w:val="28"/>
          <w:lang w:val="uk-UA"/>
        </w:rPr>
        <w:t>.</w:t>
      </w:r>
    </w:p>
    <w:p w:rsidR="00114F09" w:rsidRPr="00114F09" w:rsidRDefault="00114F09" w:rsidP="00114F09">
      <w:pPr>
        <w:pStyle w:val="a7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14F09">
        <w:rPr>
          <w:color w:val="000000"/>
          <w:sz w:val="28"/>
          <w:szCs w:val="28"/>
        </w:rPr>
        <w:t xml:space="preserve">На думку </w:t>
      </w:r>
      <w:proofErr w:type="spellStart"/>
      <w:r w:rsidRPr="00114F09">
        <w:rPr>
          <w:color w:val="000000"/>
          <w:sz w:val="28"/>
          <w:szCs w:val="28"/>
        </w:rPr>
        <w:t>контролерів</w:t>
      </w:r>
      <w:proofErr w:type="spellEnd"/>
      <w:r w:rsidRPr="00114F09">
        <w:rPr>
          <w:color w:val="000000"/>
          <w:sz w:val="28"/>
          <w:szCs w:val="28"/>
        </w:rPr>
        <w:t xml:space="preserve">, такою датою є </w:t>
      </w:r>
      <w:proofErr w:type="spellStart"/>
      <w:r w:rsidRPr="00114F09">
        <w:rPr>
          <w:color w:val="000000"/>
          <w:sz w:val="28"/>
          <w:szCs w:val="28"/>
        </w:rPr>
        <w:t>під</w:t>
      </w:r>
      <w:proofErr w:type="spellEnd"/>
      <w:r w:rsidRPr="00114F09">
        <w:rPr>
          <w:color w:val="000000"/>
          <w:sz w:val="28"/>
          <w:szCs w:val="28"/>
        </w:rPr>
        <w:t xml:space="preserve"> час </w:t>
      </w:r>
      <w:proofErr w:type="spellStart"/>
      <w:r w:rsidRPr="00114F09">
        <w:rPr>
          <w:color w:val="000000"/>
          <w:sz w:val="28"/>
          <w:szCs w:val="28"/>
        </w:rPr>
        <w:t>оформлення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митної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декларації</w:t>
      </w:r>
      <w:proofErr w:type="spellEnd"/>
      <w:r w:rsidRPr="00114F09">
        <w:rPr>
          <w:color w:val="000000"/>
          <w:sz w:val="28"/>
          <w:szCs w:val="28"/>
        </w:rPr>
        <w:t>:</w:t>
      </w:r>
    </w:p>
    <w:p w:rsidR="00114F09" w:rsidRPr="00114F09" w:rsidRDefault="00114F09" w:rsidP="00114F09">
      <w:pPr>
        <w:pStyle w:val="a7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14F09">
        <w:rPr>
          <w:color w:val="000000"/>
          <w:sz w:val="28"/>
          <w:szCs w:val="28"/>
        </w:rPr>
        <w:t xml:space="preserve">– у </w:t>
      </w:r>
      <w:proofErr w:type="spellStart"/>
      <w:r w:rsidRPr="00114F09">
        <w:rPr>
          <w:color w:val="000000"/>
          <w:sz w:val="28"/>
          <w:szCs w:val="28"/>
        </w:rPr>
        <w:t>паперовому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вигляді</w:t>
      </w:r>
      <w:proofErr w:type="spellEnd"/>
      <w:r w:rsidRPr="00114F09">
        <w:rPr>
          <w:color w:val="000000"/>
          <w:sz w:val="28"/>
          <w:szCs w:val="28"/>
        </w:rPr>
        <w:t xml:space="preserve"> – дата </w:t>
      </w:r>
      <w:proofErr w:type="spellStart"/>
      <w:r w:rsidRPr="00114F09">
        <w:rPr>
          <w:color w:val="000000"/>
          <w:sz w:val="28"/>
          <w:szCs w:val="28"/>
        </w:rPr>
        <w:t>здійснення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відповідного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запису</w:t>
      </w:r>
      <w:proofErr w:type="spellEnd"/>
      <w:r w:rsidRPr="00114F09">
        <w:rPr>
          <w:color w:val="000000"/>
          <w:sz w:val="28"/>
          <w:szCs w:val="28"/>
        </w:rPr>
        <w:t xml:space="preserve"> на </w:t>
      </w:r>
      <w:proofErr w:type="spellStart"/>
      <w:r w:rsidRPr="00114F09">
        <w:rPr>
          <w:color w:val="000000"/>
          <w:sz w:val="28"/>
          <w:szCs w:val="28"/>
        </w:rPr>
        <w:t>митній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декларації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посадовою</w:t>
      </w:r>
      <w:proofErr w:type="spellEnd"/>
      <w:r w:rsidRPr="00114F09">
        <w:rPr>
          <w:color w:val="000000"/>
          <w:sz w:val="28"/>
          <w:szCs w:val="28"/>
        </w:rPr>
        <w:t xml:space="preserve"> особою </w:t>
      </w:r>
      <w:proofErr w:type="spellStart"/>
      <w:r w:rsidRPr="00114F09">
        <w:rPr>
          <w:color w:val="000000"/>
          <w:sz w:val="28"/>
          <w:szCs w:val="28"/>
        </w:rPr>
        <w:t>митного</w:t>
      </w:r>
      <w:proofErr w:type="spellEnd"/>
      <w:r w:rsidRPr="00114F09">
        <w:rPr>
          <w:color w:val="000000"/>
          <w:sz w:val="28"/>
          <w:szCs w:val="28"/>
        </w:rPr>
        <w:t xml:space="preserve"> органу, </w:t>
      </w:r>
      <w:proofErr w:type="spellStart"/>
      <w:r w:rsidRPr="00114F09">
        <w:rPr>
          <w:color w:val="000000"/>
          <w:sz w:val="28"/>
          <w:szCs w:val="28"/>
        </w:rPr>
        <w:t>засвідчена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печаткою</w:t>
      </w:r>
      <w:proofErr w:type="spellEnd"/>
      <w:r w:rsidRPr="00114F09">
        <w:rPr>
          <w:color w:val="000000"/>
          <w:sz w:val="28"/>
          <w:szCs w:val="28"/>
        </w:rPr>
        <w:t>;</w:t>
      </w:r>
    </w:p>
    <w:p w:rsidR="00114F09" w:rsidRPr="00114F09" w:rsidRDefault="00114F09" w:rsidP="00114F09">
      <w:pPr>
        <w:pStyle w:val="a7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14F09">
        <w:rPr>
          <w:color w:val="000000"/>
          <w:sz w:val="28"/>
          <w:szCs w:val="28"/>
        </w:rPr>
        <w:t xml:space="preserve">– в </w:t>
      </w:r>
      <w:proofErr w:type="spellStart"/>
      <w:r w:rsidRPr="00114F09">
        <w:rPr>
          <w:color w:val="000000"/>
          <w:sz w:val="28"/>
          <w:szCs w:val="28"/>
        </w:rPr>
        <w:t>електронному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вигляді</w:t>
      </w:r>
      <w:proofErr w:type="spellEnd"/>
      <w:r w:rsidRPr="00114F09">
        <w:rPr>
          <w:color w:val="000000"/>
          <w:sz w:val="28"/>
          <w:szCs w:val="28"/>
        </w:rPr>
        <w:t xml:space="preserve"> – дата </w:t>
      </w:r>
      <w:proofErr w:type="spellStart"/>
      <w:r w:rsidRPr="00114F09">
        <w:rPr>
          <w:color w:val="000000"/>
          <w:sz w:val="28"/>
          <w:szCs w:val="28"/>
        </w:rPr>
        <w:t>внесення</w:t>
      </w:r>
      <w:proofErr w:type="spellEnd"/>
      <w:r w:rsidRPr="00114F09">
        <w:rPr>
          <w:color w:val="000000"/>
          <w:sz w:val="28"/>
          <w:szCs w:val="28"/>
        </w:rPr>
        <w:t xml:space="preserve"> до </w:t>
      </w:r>
      <w:proofErr w:type="spellStart"/>
      <w:r w:rsidRPr="00114F09">
        <w:rPr>
          <w:color w:val="000000"/>
          <w:sz w:val="28"/>
          <w:szCs w:val="28"/>
        </w:rPr>
        <w:t>митної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декларації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посадовою</w:t>
      </w:r>
      <w:proofErr w:type="spellEnd"/>
      <w:r w:rsidRPr="00114F09">
        <w:rPr>
          <w:color w:val="000000"/>
          <w:sz w:val="28"/>
          <w:szCs w:val="28"/>
        </w:rPr>
        <w:t xml:space="preserve"> особою </w:t>
      </w:r>
      <w:proofErr w:type="spellStart"/>
      <w:r w:rsidRPr="00114F09">
        <w:rPr>
          <w:color w:val="000000"/>
          <w:sz w:val="28"/>
          <w:szCs w:val="28"/>
        </w:rPr>
        <w:t>митного</w:t>
      </w:r>
      <w:proofErr w:type="spellEnd"/>
      <w:r w:rsidRPr="00114F09">
        <w:rPr>
          <w:color w:val="000000"/>
          <w:sz w:val="28"/>
          <w:szCs w:val="28"/>
        </w:rPr>
        <w:t xml:space="preserve"> органу, яка завершила </w:t>
      </w:r>
      <w:proofErr w:type="spellStart"/>
      <w:r w:rsidRPr="00114F09">
        <w:rPr>
          <w:color w:val="000000"/>
          <w:sz w:val="28"/>
          <w:szCs w:val="28"/>
        </w:rPr>
        <w:t>митне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оформлення</w:t>
      </w:r>
      <w:proofErr w:type="spellEnd"/>
      <w:r w:rsidRPr="00114F09">
        <w:rPr>
          <w:color w:val="000000"/>
          <w:sz w:val="28"/>
          <w:szCs w:val="28"/>
        </w:rPr>
        <w:t xml:space="preserve">, за </w:t>
      </w:r>
      <w:proofErr w:type="spellStart"/>
      <w:r w:rsidRPr="00114F09">
        <w:rPr>
          <w:color w:val="000000"/>
          <w:sz w:val="28"/>
          <w:szCs w:val="28"/>
        </w:rPr>
        <w:t>допомогою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автоматизованої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системи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митного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оформлення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відмітки</w:t>
      </w:r>
      <w:proofErr w:type="spellEnd"/>
      <w:r w:rsidRPr="00114F09">
        <w:rPr>
          <w:color w:val="000000"/>
          <w:sz w:val="28"/>
          <w:szCs w:val="28"/>
        </w:rPr>
        <w:t xml:space="preserve"> про </w:t>
      </w:r>
      <w:proofErr w:type="spellStart"/>
      <w:r w:rsidRPr="00114F09">
        <w:rPr>
          <w:color w:val="000000"/>
          <w:sz w:val="28"/>
          <w:szCs w:val="28"/>
        </w:rPr>
        <w:t>завершення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митного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оформлення</w:t>
      </w:r>
      <w:proofErr w:type="spellEnd"/>
      <w:r w:rsidRPr="00114F09">
        <w:rPr>
          <w:color w:val="000000"/>
          <w:sz w:val="28"/>
          <w:szCs w:val="28"/>
        </w:rPr>
        <w:t xml:space="preserve"> та </w:t>
      </w:r>
      <w:proofErr w:type="spellStart"/>
      <w:r w:rsidRPr="00114F09">
        <w:rPr>
          <w:color w:val="000000"/>
          <w:sz w:val="28"/>
          <w:szCs w:val="28"/>
        </w:rPr>
        <w:t>засвідчення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такої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декларації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електронним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цифровим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підписом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посадової</w:t>
      </w:r>
      <w:proofErr w:type="spellEnd"/>
      <w:r w:rsidRPr="00114F09">
        <w:rPr>
          <w:color w:val="000000"/>
          <w:sz w:val="28"/>
          <w:szCs w:val="28"/>
        </w:rPr>
        <w:t xml:space="preserve"> особи </w:t>
      </w:r>
      <w:proofErr w:type="spellStart"/>
      <w:r w:rsidRPr="00114F09">
        <w:rPr>
          <w:color w:val="000000"/>
          <w:sz w:val="28"/>
          <w:szCs w:val="28"/>
        </w:rPr>
        <w:t>митного</w:t>
      </w:r>
      <w:proofErr w:type="spellEnd"/>
      <w:r w:rsidRPr="00114F09">
        <w:rPr>
          <w:color w:val="000000"/>
          <w:sz w:val="28"/>
          <w:szCs w:val="28"/>
        </w:rPr>
        <w:t xml:space="preserve"> органу, яка завершила </w:t>
      </w:r>
      <w:proofErr w:type="spellStart"/>
      <w:r w:rsidRPr="00114F09">
        <w:rPr>
          <w:color w:val="000000"/>
          <w:sz w:val="28"/>
          <w:szCs w:val="28"/>
        </w:rPr>
        <w:t>митне</w:t>
      </w:r>
      <w:proofErr w:type="spellEnd"/>
      <w:r w:rsidRPr="00114F09">
        <w:rPr>
          <w:color w:val="000000"/>
          <w:sz w:val="28"/>
          <w:szCs w:val="28"/>
        </w:rPr>
        <w:t xml:space="preserve"> </w:t>
      </w:r>
      <w:proofErr w:type="spellStart"/>
      <w:r w:rsidRPr="00114F09">
        <w:rPr>
          <w:color w:val="000000"/>
          <w:sz w:val="28"/>
          <w:szCs w:val="28"/>
        </w:rPr>
        <w:t>оформлення</w:t>
      </w:r>
      <w:proofErr w:type="spellEnd"/>
      <w:r w:rsidRPr="00114F09">
        <w:rPr>
          <w:color w:val="000000"/>
          <w:sz w:val="28"/>
          <w:szCs w:val="28"/>
        </w:rPr>
        <w:t>.</w:t>
      </w:r>
    </w:p>
    <w:p w:rsidR="00060DC2" w:rsidRPr="00114F09" w:rsidRDefault="00060DC2" w:rsidP="00E54D04">
      <w:pPr>
        <w:rPr>
          <w:rFonts w:ascii="Times New Roman" w:hAnsi="Times New Roman" w:cs="Times New Roman"/>
          <w:sz w:val="28"/>
          <w:szCs w:val="28"/>
        </w:rPr>
      </w:pPr>
    </w:p>
    <w:p w:rsidR="00060DC2" w:rsidRPr="00060DC2" w:rsidRDefault="00060DC2" w:rsidP="00060DC2">
      <w:pPr>
        <w:shd w:val="clear" w:color="auto" w:fill="FFFFFF"/>
        <w:spacing w:after="300" w:line="288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3D3C3B"/>
          <w:sz w:val="28"/>
          <w:szCs w:val="28"/>
          <w:lang w:eastAsia="ru-RU"/>
        </w:rPr>
      </w:pPr>
      <w:r w:rsidRPr="00060DC2">
        <w:rPr>
          <w:rFonts w:ascii="Times New Roman" w:eastAsia="Times New Roman" w:hAnsi="Times New Roman" w:cs="Times New Roman"/>
          <w:b/>
          <w:bCs/>
          <w:color w:val="3D3C3B"/>
          <w:sz w:val="28"/>
          <w:szCs w:val="28"/>
          <w:lang w:eastAsia="ru-RU"/>
        </w:rPr>
        <w:t xml:space="preserve">Строки </w:t>
      </w:r>
      <w:proofErr w:type="spellStart"/>
      <w:r w:rsidRPr="00060DC2">
        <w:rPr>
          <w:rFonts w:ascii="Times New Roman" w:eastAsia="Times New Roman" w:hAnsi="Times New Roman" w:cs="Times New Roman"/>
          <w:b/>
          <w:bCs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b/>
          <w:bCs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b/>
          <w:bCs/>
          <w:color w:val="3D3C3B"/>
          <w:sz w:val="28"/>
          <w:szCs w:val="28"/>
          <w:lang w:eastAsia="ru-RU"/>
        </w:rPr>
        <w:t>оформлення</w:t>
      </w:r>
      <w:proofErr w:type="spellEnd"/>
    </w:p>
    <w:p w:rsidR="00060DC2" w:rsidRPr="00114F09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ст. 255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митне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оф</w:t>
      </w:r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ормлення</w:t>
      </w:r>
      <w:proofErr w:type="spellEnd"/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завершується</w:t>
      </w:r>
      <w:proofErr w:type="spellEnd"/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протягом</w:t>
      </w:r>
      <w:proofErr w:type="spellEnd"/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r w:rsidR="00114F09">
        <w:rPr>
          <w:rFonts w:ascii="Times New Roman" w:eastAsia="Times New Roman" w:hAnsi="Times New Roman" w:cs="Times New Roman"/>
          <w:color w:val="3D3C3B"/>
          <w:sz w:val="28"/>
          <w:szCs w:val="28"/>
          <w:lang w:val="uk-UA" w:eastAsia="ru-RU"/>
        </w:rPr>
        <w:t xml:space="preserve">чотирьох </w:t>
      </w:r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робочих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годин з моменту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пред’явлення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митному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органу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транспортних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засобів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комерційного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підлягають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митному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оформленню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згідно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цим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Кодексом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транспортні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засоби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комерційного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призначення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підлягають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пред’явленню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),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подання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документа,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законодавства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замінює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, та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всіх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необхідних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відомостей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передбачених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статтями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 257 і 335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цього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Кодексу.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</w:p>
    <w:p w:rsid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Перевищення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зазначеного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строку на час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виконання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формальностей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передбачено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виключно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разі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:</w:t>
      </w: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val="en-US" w:eastAsia="ru-RU"/>
        </w:rPr>
      </w:pP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виконання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формальностей поза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місцем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розташування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органу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доходів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зборів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ст. 247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підтвердженого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письмово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бажання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декларанта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уповноваженої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ним особи подати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додаткові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відомості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про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зовнішньоекономічну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операцію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характеристики товару;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проведення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досліджень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аналізу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експертизи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) проб і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зразків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не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випускаються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згідно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двадцять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першою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ст. 356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виявлення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порушень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правил,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не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випускаються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згідно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п’ятою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ст. 255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зупинення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оформлення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Закону № 2735;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подання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додаткових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частини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третьої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ст. 53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 в межах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передбаченого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нею строку,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перебіг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припиняється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 моменту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отримання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митницею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постом) таких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документів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письмової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відмови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декларанта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уповноваженої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ним особи в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поданні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;</w:t>
      </w:r>
    </w:p>
    <w:p w:rsidR="00060DC2" w:rsidRPr="00060DC2" w:rsidRDefault="00060DC2" w:rsidP="00060DC2">
      <w:pPr>
        <w:numPr>
          <w:ilvl w:val="0"/>
          <w:numId w:val="10"/>
        </w:num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призупинення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оформлення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статей 399 і 400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кодексу.</w:t>
      </w:r>
    </w:p>
    <w:p w:rsidR="00060DC2" w:rsidRPr="00060DC2" w:rsidRDefault="00060DC2" w:rsidP="00060DC2">
      <w:pPr>
        <w:spacing w:after="0" w:line="312" w:lineRule="atLeast"/>
        <w:ind w:left="450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</w:p>
    <w:p w:rsidR="00060DC2" w:rsidRPr="00060DC2" w:rsidRDefault="00060DC2" w:rsidP="00060DC2">
      <w:pPr>
        <w:shd w:val="clear" w:color="auto" w:fill="FFFFFF"/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</w:pP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Митне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оформлення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вважається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завершеним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після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виконання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всіх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формальностей,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визначених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кодексом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заявленого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митного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режиму,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що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засвідчується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митницею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ДФС шляхом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проставлення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відповідних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забезпечень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(у тому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числі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за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допомогою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інформаційних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технологій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),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інших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відміток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митній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декларації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або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документі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,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який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згідно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із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законодавством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замінює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, 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також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товаросупровідних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та товарно-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транспортних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документах у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разі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їх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подання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на 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паперовому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 xml:space="preserve"> </w:t>
      </w:r>
      <w:proofErr w:type="spellStart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носії</w:t>
      </w:r>
      <w:proofErr w:type="spellEnd"/>
      <w:r w:rsidRPr="00060DC2">
        <w:rPr>
          <w:rFonts w:ascii="Times New Roman" w:eastAsia="Times New Roman" w:hAnsi="Times New Roman" w:cs="Times New Roman"/>
          <w:color w:val="3D3C3B"/>
          <w:sz w:val="28"/>
          <w:szCs w:val="28"/>
          <w:lang w:eastAsia="ru-RU"/>
        </w:rPr>
        <w:t>.</w:t>
      </w:r>
    </w:p>
    <w:p w:rsidR="00060DC2" w:rsidRPr="00E80AB9" w:rsidRDefault="00060DC2" w:rsidP="00E54D0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80AB9" w:rsidRPr="00E80AB9" w:rsidRDefault="00E80AB9" w:rsidP="00E80AB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0AB9">
        <w:rPr>
          <w:rFonts w:ascii="Times New Roman" w:hAnsi="Times New Roman" w:cs="Times New Roman"/>
          <w:b/>
          <w:sz w:val="28"/>
          <w:szCs w:val="28"/>
        </w:rPr>
        <w:t>Відмова</w:t>
      </w:r>
      <w:proofErr w:type="spellEnd"/>
      <w:r w:rsidRPr="00E80AB9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E80AB9">
        <w:rPr>
          <w:rFonts w:ascii="Times New Roman" w:hAnsi="Times New Roman" w:cs="Times New Roman"/>
          <w:b/>
          <w:sz w:val="28"/>
          <w:szCs w:val="28"/>
        </w:rPr>
        <w:t>прийнятті</w:t>
      </w:r>
      <w:proofErr w:type="spellEnd"/>
      <w:r w:rsidRPr="00E80A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b/>
          <w:sz w:val="28"/>
          <w:szCs w:val="28"/>
        </w:rPr>
        <w:t>митної</w:t>
      </w:r>
      <w:proofErr w:type="spellEnd"/>
      <w:r w:rsidRPr="00E80A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b/>
          <w:sz w:val="28"/>
          <w:szCs w:val="28"/>
        </w:rPr>
        <w:t>декларації</w:t>
      </w:r>
      <w:proofErr w:type="spellEnd"/>
    </w:p>
    <w:p w:rsidR="00E80AB9" w:rsidRPr="00E80AB9" w:rsidRDefault="00E80AB9" w:rsidP="00E80AB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митницею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ДФС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відмовлено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ст. 264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кодексу повинна бути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вмотивованою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а про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исьмово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декларанта.</w:t>
      </w:r>
    </w:p>
    <w:p w:rsidR="00E80AB9" w:rsidRPr="00E80AB9" w:rsidRDefault="00E80AB9" w:rsidP="00E80AB9">
      <w:pPr>
        <w:rPr>
          <w:rFonts w:ascii="Times New Roman" w:hAnsi="Times New Roman" w:cs="Times New Roman"/>
          <w:sz w:val="28"/>
          <w:szCs w:val="28"/>
        </w:rPr>
      </w:pPr>
      <w:r w:rsidRPr="00E80AB9">
        <w:rPr>
          <w:rFonts w:ascii="Times New Roman" w:hAnsi="Times New Roman" w:cs="Times New Roman"/>
          <w:sz w:val="28"/>
          <w:szCs w:val="28"/>
        </w:rPr>
        <w:t xml:space="preserve">Так,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</w:t>
      </w:r>
      <w:r>
        <w:rPr>
          <w:rFonts w:ascii="Times New Roman" w:hAnsi="Times New Roman" w:cs="Times New Roman"/>
          <w:sz w:val="28"/>
          <w:szCs w:val="28"/>
        </w:rPr>
        <w:t>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таких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80AB9" w:rsidRPr="00E80AB9" w:rsidRDefault="00E80AB9" w:rsidP="00E80AB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подана без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ст. 335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кодексу;</w:t>
      </w:r>
    </w:p>
    <w:p w:rsidR="00E80AB9" w:rsidRPr="00E80AB9" w:rsidRDefault="00E80AB9" w:rsidP="00E80AB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обов’язкових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реквізитів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>;</w:t>
      </w:r>
    </w:p>
    <w:p w:rsidR="00E80AB9" w:rsidRPr="00E80AB9" w:rsidRDefault="00E80AB9" w:rsidP="00E80AB9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80AB9">
        <w:rPr>
          <w:rFonts w:ascii="Times New Roman" w:hAnsi="Times New Roman" w:cs="Times New Roman"/>
          <w:sz w:val="28"/>
          <w:szCs w:val="28"/>
        </w:rPr>
        <w:lastRenderedPageBreak/>
        <w:t>митну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декларацію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подано з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порушенням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Кодексом.</w:t>
      </w:r>
    </w:p>
    <w:p w:rsidR="00E80AB9" w:rsidRPr="00E80AB9" w:rsidRDefault="00E80AB9" w:rsidP="00E80AB9">
      <w:pPr>
        <w:rPr>
          <w:rFonts w:ascii="Times New Roman" w:hAnsi="Times New Roman" w:cs="Times New Roman"/>
          <w:sz w:val="28"/>
          <w:szCs w:val="28"/>
        </w:rPr>
      </w:pPr>
      <w:r w:rsidRPr="00E80AB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посадовою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особою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митниці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ДФС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заповнюється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картка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зазначаються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причини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наводяться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вичерпні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роз’яснення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надається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про порядок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оскарження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>.</w:t>
      </w:r>
    </w:p>
    <w:p w:rsidR="00E80AB9" w:rsidRPr="00E80AB9" w:rsidRDefault="00E80AB9" w:rsidP="00E80AB9">
      <w:pPr>
        <w:rPr>
          <w:rFonts w:ascii="Times New Roman" w:hAnsi="Times New Roman" w:cs="Times New Roman"/>
          <w:sz w:val="28"/>
          <w:szCs w:val="28"/>
        </w:rPr>
      </w:pPr>
    </w:p>
    <w:p w:rsidR="00E80AB9" w:rsidRDefault="00E80AB9" w:rsidP="00E80AB9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митному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в межах строку,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відведеного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ст. 255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кодексу для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митного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Неприйняття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строку є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бездіяльністю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оскаржена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AB9">
        <w:rPr>
          <w:rFonts w:ascii="Times New Roman" w:hAnsi="Times New Roman" w:cs="Times New Roman"/>
          <w:sz w:val="28"/>
          <w:szCs w:val="28"/>
        </w:rPr>
        <w:t>в порядку</w:t>
      </w:r>
      <w:proofErr w:type="gramEnd"/>
      <w:r w:rsidRPr="00E80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AB9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E80AB9">
        <w:rPr>
          <w:rFonts w:ascii="Times New Roman" w:hAnsi="Times New Roman" w:cs="Times New Roman"/>
          <w:sz w:val="28"/>
          <w:szCs w:val="28"/>
        </w:rPr>
        <w:t xml:space="preserve"> главою </w:t>
      </w:r>
      <w:r w:rsidRPr="00E80AB9">
        <w:rPr>
          <w:rFonts w:ascii="Times New Roman" w:hAnsi="Times New Roman" w:cs="Times New Roman"/>
          <w:sz w:val="28"/>
          <w:szCs w:val="28"/>
          <w:lang w:val="en-US"/>
        </w:rPr>
        <w:t xml:space="preserve">4 </w:t>
      </w:r>
      <w:proofErr w:type="spellStart"/>
      <w:r w:rsidRPr="00E80AB9">
        <w:rPr>
          <w:rFonts w:ascii="Times New Roman" w:hAnsi="Times New Roman" w:cs="Times New Roman"/>
          <w:sz w:val="28"/>
          <w:szCs w:val="28"/>
          <w:lang w:val="en-US"/>
        </w:rPr>
        <w:t>цього</w:t>
      </w:r>
      <w:proofErr w:type="spellEnd"/>
      <w:r w:rsidRPr="00E80A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80AB9">
        <w:rPr>
          <w:rFonts w:ascii="Times New Roman" w:hAnsi="Times New Roman" w:cs="Times New Roman"/>
          <w:sz w:val="28"/>
          <w:szCs w:val="28"/>
          <w:lang w:val="en-US"/>
        </w:rPr>
        <w:t>Кодексу</w:t>
      </w:r>
      <w:proofErr w:type="spellEnd"/>
      <w:r w:rsidRPr="00E80AB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551CD" w:rsidRDefault="001551C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155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C1918"/>
    <w:multiLevelType w:val="multilevel"/>
    <w:tmpl w:val="E27E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30D3A"/>
    <w:multiLevelType w:val="hybridMultilevel"/>
    <w:tmpl w:val="1B10B54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81722"/>
    <w:multiLevelType w:val="multilevel"/>
    <w:tmpl w:val="5EF6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E682C"/>
    <w:multiLevelType w:val="multilevel"/>
    <w:tmpl w:val="E8F6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B42E4"/>
    <w:multiLevelType w:val="hybridMultilevel"/>
    <w:tmpl w:val="16CA87E8"/>
    <w:lvl w:ilvl="0" w:tplc="A5F404AE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5EB5765"/>
    <w:multiLevelType w:val="hybridMultilevel"/>
    <w:tmpl w:val="2DD46B4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26CE6E90"/>
    <w:multiLevelType w:val="multilevel"/>
    <w:tmpl w:val="B70E057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8E6942"/>
    <w:multiLevelType w:val="hybridMultilevel"/>
    <w:tmpl w:val="D35CE6C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29B23F38"/>
    <w:multiLevelType w:val="multilevel"/>
    <w:tmpl w:val="2CD2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CE49F5"/>
    <w:multiLevelType w:val="hybridMultilevel"/>
    <w:tmpl w:val="0B40DFA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37AC0609"/>
    <w:multiLevelType w:val="multilevel"/>
    <w:tmpl w:val="5936C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D67AD3"/>
    <w:multiLevelType w:val="hybridMultilevel"/>
    <w:tmpl w:val="A4665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E6734"/>
    <w:multiLevelType w:val="multilevel"/>
    <w:tmpl w:val="F1BEB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701D0E"/>
    <w:multiLevelType w:val="hybridMultilevel"/>
    <w:tmpl w:val="A6F474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53474"/>
    <w:multiLevelType w:val="hybridMultilevel"/>
    <w:tmpl w:val="EE24A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841D1D"/>
    <w:multiLevelType w:val="hybridMultilevel"/>
    <w:tmpl w:val="3594E67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7D9A5396"/>
    <w:multiLevelType w:val="multilevel"/>
    <w:tmpl w:val="AC163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8"/>
  </w:num>
  <w:num w:numId="5">
    <w:abstractNumId w:val="12"/>
  </w:num>
  <w:num w:numId="6">
    <w:abstractNumId w:val="3"/>
  </w:num>
  <w:num w:numId="7">
    <w:abstractNumId w:val="0"/>
  </w:num>
  <w:num w:numId="8">
    <w:abstractNumId w:val="6"/>
  </w:num>
  <w:num w:numId="9">
    <w:abstractNumId w:val="13"/>
  </w:num>
  <w:num w:numId="10">
    <w:abstractNumId w:val="10"/>
  </w:num>
  <w:num w:numId="11">
    <w:abstractNumId w:val="1"/>
  </w:num>
  <w:num w:numId="12">
    <w:abstractNumId w:val="14"/>
  </w:num>
  <w:num w:numId="13">
    <w:abstractNumId w:val="11"/>
  </w:num>
  <w:num w:numId="14">
    <w:abstractNumId w:val="7"/>
  </w:num>
  <w:num w:numId="15">
    <w:abstractNumId w:val="5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209"/>
    <w:rsid w:val="00060DC2"/>
    <w:rsid w:val="000E241A"/>
    <w:rsid w:val="00114F09"/>
    <w:rsid w:val="00123153"/>
    <w:rsid w:val="001551CD"/>
    <w:rsid w:val="0034528B"/>
    <w:rsid w:val="00383EDC"/>
    <w:rsid w:val="003D5554"/>
    <w:rsid w:val="00A66170"/>
    <w:rsid w:val="00B47036"/>
    <w:rsid w:val="00D77154"/>
    <w:rsid w:val="00E419DC"/>
    <w:rsid w:val="00E54D04"/>
    <w:rsid w:val="00E80AB9"/>
    <w:rsid w:val="00F772FA"/>
    <w:rsid w:val="00FD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FA821A"/>
  <w15:docId w15:val="{83303C34-7DE7-4231-A004-78FDB3A8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41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19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0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D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0DC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14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z.ligazakon.ua/ua/magazine_article/BZ0100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2020-03-28T15:28:00Z</dcterms:created>
  <dcterms:modified xsi:type="dcterms:W3CDTF">2020-03-28T15:28:00Z</dcterms:modified>
</cp:coreProperties>
</file>