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38A" w:rsidRDefault="007D3575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МІНІСТЕРСТВО ОСВІТИ І НАУКИ УКРАЇНИ</w:t>
      </w: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7D35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університет «Житомирська політехніка»</w:t>
      </w:r>
    </w:p>
    <w:p w:rsidR="0048338A" w:rsidRDefault="0048338A">
      <w:pPr>
        <w:jc w:val="both"/>
        <w:rPr>
          <w:sz w:val="28"/>
          <w:szCs w:val="28"/>
          <w:lang w:val="uk-UA"/>
        </w:rPr>
      </w:pPr>
    </w:p>
    <w:p w:rsidR="0048338A" w:rsidRDefault="007D35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Факультет бізнесу та сфери обслуговування</w:t>
      </w:r>
    </w:p>
    <w:p w:rsidR="0048338A" w:rsidRDefault="0048338A">
      <w:pPr>
        <w:jc w:val="both"/>
        <w:rPr>
          <w:sz w:val="28"/>
          <w:szCs w:val="28"/>
          <w:lang w:val="uk-UA"/>
        </w:rPr>
      </w:pPr>
    </w:p>
    <w:p w:rsidR="0048338A" w:rsidRDefault="007D3575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Кафедра міжнародних економічних відносин</w:t>
      </w: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b/>
          <w:bCs/>
          <w:sz w:val="28"/>
          <w:szCs w:val="28"/>
          <w:lang w:val="uk-UA"/>
        </w:rPr>
      </w:pPr>
    </w:p>
    <w:p w:rsidR="0048338A" w:rsidRDefault="0048338A">
      <w:pPr>
        <w:jc w:val="center"/>
        <w:rPr>
          <w:sz w:val="28"/>
          <w:szCs w:val="28"/>
          <w:lang w:val="uk-UA"/>
        </w:rPr>
      </w:pPr>
    </w:p>
    <w:p w:rsidR="0048338A" w:rsidRDefault="0048338A">
      <w:pPr>
        <w:jc w:val="center"/>
        <w:rPr>
          <w:sz w:val="28"/>
          <w:szCs w:val="28"/>
          <w:lang w:val="uk-UA"/>
        </w:rPr>
      </w:pPr>
    </w:p>
    <w:p w:rsidR="0048338A" w:rsidRDefault="0048338A">
      <w:pPr>
        <w:jc w:val="center"/>
        <w:rPr>
          <w:sz w:val="28"/>
          <w:szCs w:val="28"/>
          <w:lang w:val="uk-UA"/>
        </w:rPr>
      </w:pPr>
    </w:p>
    <w:p w:rsidR="0048338A" w:rsidRDefault="007D35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ДОПОВІДЬ</w:t>
      </w:r>
    </w:p>
    <w:p w:rsidR="0048338A" w:rsidRDefault="0048338A">
      <w:pPr>
        <w:jc w:val="center"/>
        <w:rPr>
          <w:b/>
          <w:bCs/>
          <w:sz w:val="28"/>
          <w:szCs w:val="28"/>
          <w:lang w:val="uk-UA"/>
        </w:rPr>
      </w:pPr>
    </w:p>
    <w:p w:rsidR="0048338A" w:rsidRDefault="007D35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тему:</w:t>
      </w:r>
    </w:p>
    <w:p w:rsidR="0048338A" w:rsidRDefault="0048338A">
      <w:pPr>
        <w:jc w:val="both"/>
        <w:rPr>
          <w:b/>
          <w:bCs/>
          <w:sz w:val="28"/>
          <w:szCs w:val="28"/>
          <w:lang w:val="uk-UA"/>
        </w:rPr>
      </w:pPr>
    </w:p>
    <w:p w:rsidR="0048338A" w:rsidRDefault="007D3575">
      <w:pPr>
        <w:jc w:val="center"/>
        <w:rPr>
          <w:rFonts w:ascii="Calibri" w:hAnsi="Calibri" w:cs="Calibri"/>
          <w:b/>
          <w:bCs/>
          <w:sz w:val="28"/>
          <w:szCs w:val="28"/>
          <w:lang w:val="uk-UA"/>
        </w:rPr>
      </w:pPr>
      <w:r>
        <w:rPr>
          <w:rFonts w:ascii="Calibri" w:hAnsi="Calibri" w:cs="Calibri"/>
          <w:b/>
          <w:bCs/>
          <w:sz w:val="28"/>
          <w:szCs w:val="28"/>
          <w:lang w:val="uk-UA"/>
        </w:rPr>
        <w:t>"АКРЕДИТИВ ТА ЙОГО ВИДИ"</w:t>
      </w:r>
    </w:p>
    <w:p w:rsidR="0048338A" w:rsidRDefault="0048338A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b/>
          <w:bCs/>
          <w:i/>
          <w:iCs/>
          <w:sz w:val="28"/>
          <w:szCs w:val="28"/>
          <w:lang w:val="uk-UA"/>
        </w:rPr>
      </w:pPr>
    </w:p>
    <w:p w:rsidR="0048338A" w:rsidRDefault="0048338A">
      <w:pPr>
        <w:jc w:val="both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right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right"/>
        <w:rPr>
          <w:rFonts w:ascii="Calibri" w:hAnsi="Calibri" w:cs="Calibri"/>
          <w:sz w:val="28"/>
          <w:szCs w:val="28"/>
          <w:lang w:val="uk-UA"/>
        </w:rPr>
      </w:pPr>
    </w:p>
    <w:p w:rsidR="0048338A" w:rsidRDefault="007D3575">
      <w:pPr>
        <w:jc w:val="right"/>
        <w:rPr>
          <w:rFonts w:ascii="Calibri" w:hAnsi="Calibri" w:cs="Calibri"/>
          <w:sz w:val="28"/>
          <w:szCs w:val="28"/>
          <w:lang w:val="uk-UA"/>
        </w:rPr>
      </w:pPr>
      <w:r>
        <w:rPr>
          <w:rFonts w:ascii="Calibri" w:hAnsi="Calibri" w:cs="Calibri"/>
          <w:sz w:val="28"/>
          <w:szCs w:val="28"/>
          <w:lang w:val="uk-UA"/>
        </w:rPr>
        <w:t>Студентки групи МЕ-3</w:t>
      </w:r>
    </w:p>
    <w:p w:rsidR="0048338A" w:rsidRDefault="007D3575">
      <w:pPr>
        <w:jc w:val="right"/>
        <w:rPr>
          <w:rFonts w:ascii="Calibri" w:hAnsi="Calibri" w:cs="Calibri"/>
          <w:sz w:val="28"/>
          <w:szCs w:val="28"/>
          <w:lang w:val="uk-UA"/>
        </w:rPr>
      </w:pPr>
      <w:proofErr w:type="spellStart"/>
      <w:r>
        <w:rPr>
          <w:rFonts w:ascii="Calibri" w:hAnsi="Calibri" w:cs="Calibri"/>
          <w:sz w:val="28"/>
          <w:szCs w:val="28"/>
          <w:lang w:val="uk-UA"/>
        </w:rPr>
        <w:t>Рокитенець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Т.О.</w:t>
      </w:r>
    </w:p>
    <w:p w:rsidR="0048338A" w:rsidRDefault="0048338A">
      <w:pPr>
        <w:jc w:val="right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right"/>
        <w:rPr>
          <w:rFonts w:ascii="Calibri" w:hAnsi="Calibri" w:cs="Calibri"/>
          <w:sz w:val="28"/>
          <w:szCs w:val="28"/>
          <w:lang w:val="uk-UA"/>
        </w:rPr>
      </w:pPr>
    </w:p>
    <w:p w:rsidR="0048338A" w:rsidRDefault="007D3575">
      <w:pPr>
        <w:jc w:val="right"/>
        <w:rPr>
          <w:rFonts w:ascii="Calibri" w:hAnsi="Calibri" w:cs="Calibri"/>
          <w:sz w:val="28"/>
          <w:szCs w:val="28"/>
          <w:lang w:val="uk-UA"/>
        </w:rPr>
      </w:pPr>
      <w:r>
        <w:rPr>
          <w:rFonts w:ascii="Calibri" w:hAnsi="Calibri" w:cs="Calibri"/>
          <w:sz w:val="28"/>
          <w:szCs w:val="28"/>
          <w:lang w:val="uk-UA"/>
        </w:rPr>
        <w:t>Викладач предмету</w:t>
      </w:r>
    </w:p>
    <w:p w:rsidR="0048338A" w:rsidRDefault="007D3575">
      <w:pPr>
        <w:jc w:val="right"/>
        <w:rPr>
          <w:rFonts w:ascii="Calibri" w:hAnsi="Calibri" w:cs="Calibri"/>
          <w:sz w:val="28"/>
          <w:szCs w:val="28"/>
          <w:lang w:val="uk-UA"/>
        </w:rPr>
      </w:pPr>
      <w:proofErr w:type="spellStart"/>
      <w:r>
        <w:rPr>
          <w:rFonts w:ascii="Calibri" w:hAnsi="Calibri" w:cs="Calibri"/>
          <w:sz w:val="28"/>
          <w:szCs w:val="28"/>
          <w:lang w:val="uk-UA"/>
        </w:rPr>
        <w:t>Жиглей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І.В.</w:t>
      </w:r>
    </w:p>
    <w:p w:rsidR="0048338A" w:rsidRDefault="0048338A">
      <w:pPr>
        <w:jc w:val="both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both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both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sz w:val="28"/>
          <w:szCs w:val="28"/>
          <w:lang w:val="uk-UA"/>
        </w:rPr>
      </w:pPr>
    </w:p>
    <w:p w:rsidR="0048338A" w:rsidRDefault="0048338A">
      <w:pPr>
        <w:jc w:val="center"/>
        <w:rPr>
          <w:rFonts w:ascii="Calibri" w:hAnsi="Calibri" w:cs="Calibri"/>
          <w:sz w:val="28"/>
          <w:szCs w:val="28"/>
          <w:lang w:val="uk-UA"/>
        </w:rPr>
      </w:pPr>
    </w:p>
    <w:p w:rsidR="0048338A" w:rsidRDefault="007D3575">
      <w:pPr>
        <w:jc w:val="center"/>
        <w:rPr>
          <w:rFonts w:ascii="Calibri" w:hAnsi="Calibri" w:cs="Calibri"/>
          <w:sz w:val="28"/>
          <w:szCs w:val="28"/>
          <w:lang w:val="uk-UA"/>
        </w:rPr>
      </w:pPr>
      <w:r>
        <w:rPr>
          <w:rFonts w:ascii="Calibri" w:hAnsi="Calibri" w:cs="Calibri"/>
          <w:sz w:val="28"/>
          <w:szCs w:val="28"/>
          <w:lang w:val="uk-UA"/>
        </w:rPr>
        <w:t>Житомир</w:t>
      </w:r>
    </w:p>
    <w:p w:rsidR="0048338A" w:rsidRDefault="007D3575">
      <w:pPr>
        <w:jc w:val="center"/>
        <w:rPr>
          <w:rFonts w:ascii="Calibri" w:hAnsi="Calibri" w:cs="Calibri"/>
          <w:sz w:val="28"/>
          <w:szCs w:val="28"/>
          <w:lang w:val="uk-UA"/>
        </w:rPr>
        <w:sectPr w:rsidR="0048338A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Calibri" w:hAnsi="Calibri" w:cs="Calibri"/>
          <w:sz w:val="28"/>
          <w:szCs w:val="28"/>
          <w:lang w:val="uk-UA"/>
        </w:rPr>
        <w:t>2020</w:t>
      </w:r>
    </w:p>
    <w:p w:rsidR="0048338A" w:rsidRDefault="007D3575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>Акредитив</w:t>
      </w:r>
    </w:p>
    <w:p w:rsidR="0048338A" w:rsidRDefault="0048338A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48338A" w:rsidRDefault="007D3575">
      <w:pPr>
        <w:spacing w:line="360" w:lineRule="auto"/>
        <w:ind w:firstLineChars="50" w:firstLine="105"/>
        <w:rPr>
          <w:sz w:val="21"/>
          <w:szCs w:val="21"/>
          <w:lang w:val="uk-UA"/>
        </w:rPr>
      </w:pPr>
      <w:r>
        <w:rPr>
          <w:b/>
          <w:bCs/>
          <w:sz w:val="21"/>
          <w:szCs w:val="21"/>
          <w:lang w:val="uk-UA"/>
        </w:rPr>
        <w:t>Акредитив</w:t>
      </w:r>
      <w:r>
        <w:rPr>
          <w:sz w:val="21"/>
          <w:szCs w:val="21"/>
          <w:lang w:val="uk-UA"/>
        </w:rPr>
        <w:t xml:space="preserve"> є договором, що містить зобов’язання банку-емітента, за яким цей банк за дорученням клієнта (заявника акредитива) або від свого імені зобов’язується здійснити платіж на користь постачальника товарів або послуг і доручає іншому (виконуючому) банку здійснит</w:t>
      </w:r>
      <w:r>
        <w:rPr>
          <w:sz w:val="21"/>
          <w:szCs w:val="21"/>
          <w:lang w:val="uk-UA"/>
        </w:rPr>
        <w:t xml:space="preserve">и цей платіж проти документів, що відповідають умовам акредитива. </w:t>
      </w:r>
    </w:p>
    <w:p w:rsidR="0048338A" w:rsidRDefault="0048338A">
      <w:pPr>
        <w:spacing w:line="360" w:lineRule="auto"/>
        <w:rPr>
          <w:sz w:val="21"/>
          <w:szCs w:val="21"/>
          <w:lang w:val="uk-UA"/>
        </w:rPr>
      </w:pPr>
    </w:p>
    <w:p w:rsidR="0048338A" w:rsidRDefault="007D3575">
      <w:pPr>
        <w:spacing w:line="360" w:lineRule="auto"/>
        <w:ind w:firstLineChars="50" w:firstLine="105"/>
        <w:rPr>
          <w:sz w:val="21"/>
          <w:szCs w:val="21"/>
          <w:lang w:val="uk-UA"/>
        </w:rPr>
      </w:pPr>
      <w:r>
        <w:rPr>
          <w:b/>
          <w:bCs/>
          <w:sz w:val="21"/>
          <w:szCs w:val="21"/>
          <w:lang w:val="uk-UA"/>
        </w:rPr>
        <w:t>Акредитив</w:t>
      </w:r>
      <w:r>
        <w:rPr>
          <w:sz w:val="21"/>
          <w:szCs w:val="21"/>
          <w:lang w:val="uk-UA"/>
        </w:rPr>
        <w:t xml:space="preserve"> є договором, окремим від договору купівлі-продажу або іншого документу, що має чинність договору, на якому він ґрунтується.</w:t>
      </w:r>
    </w:p>
    <w:p w:rsidR="0048338A" w:rsidRDefault="0048338A">
      <w:pPr>
        <w:spacing w:line="360" w:lineRule="auto"/>
        <w:ind w:firstLineChars="100" w:firstLine="210"/>
        <w:rPr>
          <w:sz w:val="21"/>
          <w:szCs w:val="21"/>
          <w:lang w:val="uk-UA"/>
        </w:rPr>
      </w:pPr>
    </w:p>
    <w:p w:rsidR="0048338A" w:rsidRDefault="007D3575">
      <w:pPr>
        <w:spacing w:line="360" w:lineRule="auto"/>
        <w:ind w:firstLineChars="100" w:firstLine="241"/>
        <w:rPr>
          <w:b/>
          <w:bCs/>
          <w:color w:val="C00000"/>
          <w:sz w:val="24"/>
          <w:szCs w:val="24"/>
          <w:lang w:val="uk-UA"/>
        </w:rPr>
      </w:pPr>
      <w:r>
        <w:rPr>
          <w:b/>
          <w:bCs/>
          <w:color w:val="C00000"/>
          <w:sz w:val="24"/>
          <w:szCs w:val="24"/>
          <w:lang w:val="uk-UA"/>
        </w:rPr>
        <w:t>Види акредитивів:</w:t>
      </w:r>
    </w:p>
    <w:p w:rsidR="0048338A" w:rsidRDefault="007D3575">
      <w:pPr>
        <w:numPr>
          <w:ilvl w:val="0"/>
          <w:numId w:val="1"/>
        </w:numPr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Покритий</w:t>
      </w:r>
      <w:r>
        <w:rPr>
          <w:color w:val="000000" w:themeColor="text1"/>
          <w:sz w:val="22"/>
          <w:szCs w:val="22"/>
          <w:lang w:val="uk-UA"/>
        </w:rPr>
        <w:t xml:space="preserve"> (депонований) – акредитив, для здійснення платежів за яким заздалегідь бронюються кошти платника в повній сумі на окремому рахунку в банку-емітенті або в виконуючому банку.</w:t>
      </w:r>
    </w:p>
    <w:p w:rsidR="0048338A" w:rsidRDefault="007D3575">
      <w:pPr>
        <w:numPr>
          <w:ilvl w:val="0"/>
          <w:numId w:val="1"/>
        </w:numPr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Непокритий</w:t>
      </w:r>
      <w:r>
        <w:rPr>
          <w:color w:val="000000" w:themeColor="text1"/>
          <w:sz w:val="22"/>
          <w:szCs w:val="22"/>
          <w:lang w:val="uk-UA"/>
        </w:rPr>
        <w:t xml:space="preserve"> (гарантований) – акредитив, оплата за яким (якщо тимчасово немає коштів на рахунку платника) гарантується банком-емітентом за рахунок банківського кредиту.</w:t>
      </w:r>
    </w:p>
    <w:p w:rsidR="0048338A" w:rsidRDefault="007D3575">
      <w:pPr>
        <w:numPr>
          <w:ilvl w:val="0"/>
          <w:numId w:val="1"/>
        </w:numPr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Відкличний</w:t>
      </w:r>
      <w:r>
        <w:rPr>
          <w:color w:val="000000" w:themeColor="text1"/>
          <w:sz w:val="22"/>
          <w:szCs w:val="22"/>
          <w:lang w:val="uk-UA"/>
        </w:rPr>
        <w:t xml:space="preserve"> акредитив може бути змінено або анульовано банком-емітентом у будь-який час без попередн</w:t>
      </w:r>
      <w:r>
        <w:rPr>
          <w:color w:val="000000" w:themeColor="text1"/>
          <w:sz w:val="22"/>
          <w:szCs w:val="22"/>
          <w:lang w:val="uk-UA"/>
        </w:rPr>
        <w:t>ього повідомлення одержувача платежу (постачальника товарів або послуг).</w:t>
      </w:r>
    </w:p>
    <w:p w:rsidR="0048338A" w:rsidRDefault="007D3575">
      <w:pPr>
        <w:numPr>
          <w:ilvl w:val="0"/>
          <w:numId w:val="1"/>
        </w:numPr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Безвідкличний</w:t>
      </w:r>
      <w:r>
        <w:rPr>
          <w:color w:val="000000" w:themeColor="text1"/>
          <w:sz w:val="22"/>
          <w:szCs w:val="22"/>
          <w:lang w:val="uk-UA"/>
        </w:rPr>
        <w:t xml:space="preserve"> акредитив може бути анульовано (умови якого можуть бути змінені) тільки за згоди на це одержувача платежу, на користь якого його було відкрито.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rPr>
          <w:b/>
          <w:bCs/>
          <w:color w:val="0070C0"/>
          <w:sz w:val="24"/>
          <w:szCs w:val="24"/>
          <w:lang w:val="uk-UA"/>
        </w:rPr>
      </w:pPr>
      <w:r>
        <w:rPr>
          <w:b/>
          <w:bCs/>
          <w:color w:val="0070C0"/>
          <w:sz w:val="24"/>
          <w:szCs w:val="24"/>
          <w:lang w:val="uk-UA"/>
        </w:rPr>
        <w:t>Операції з акредитивами:</w:t>
      </w:r>
    </w:p>
    <w:p w:rsidR="0048338A" w:rsidRDefault="007D3575">
      <w:pPr>
        <w:numPr>
          <w:ilvl w:val="0"/>
          <w:numId w:val="1"/>
        </w:numPr>
        <w:tabs>
          <w:tab w:val="clear" w:pos="420"/>
        </w:tabs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Відкриття акредитива</w:t>
      </w:r>
      <w:r>
        <w:rPr>
          <w:color w:val="000000" w:themeColor="text1"/>
          <w:sz w:val="22"/>
          <w:szCs w:val="22"/>
          <w:lang w:val="uk-UA"/>
        </w:rPr>
        <w:t xml:space="preserve"> – випуск банком-емітентом за наказом заявника (клієнта банку) зобов’язання, за яким цей банк за дорученням заявника акредитива або від свого імені зобов’язується здійснити платіж на користь постачальника товарів або послуг або доручає</w:t>
      </w:r>
      <w:r>
        <w:rPr>
          <w:color w:val="000000" w:themeColor="text1"/>
          <w:sz w:val="22"/>
          <w:szCs w:val="22"/>
          <w:lang w:val="uk-UA"/>
        </w:rPr>
        <w:t xml:space="preserve"> іншому (виконуючому) банку здійснити цей платіж проти документів, що відповідають умовам акредитива.</w:t>
      </w:r>
    </w:p>
    <w:p w:rsidR="0048338A" w:rsidRDefault="007D3575">
      <w:pPr>
        <w:numPr>
          <w:ilvl w:val="0"/>
          <w:numId w:val="1"/>
        </w:numPr>
        <w:tabs>
          <w:tab w:val="clear" w:pos="420"/>
        </w:tabs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t>Підтвердження акредитива</w:t>
      </w:r>
      <w:r>
        <w:rPr>
          <w:color w:val="000000" w:themeColor="text1"/>
          <w:sz w:val="22"/>
          <w:szCs w:val="22"/>
          <w:lang w:val="uk-UA"/>
        </w:rPr>
        <w:t xml:space="preserve"> – видача додаткового зобов’язання оплати акредитива, відкритого іншим банком.</w:t>
      </w:r>
    </w:p>
    <w:p w:rsidR="0048338A" w:rsidRDefault="007D3575">
      <w:pPr>
        <w:numPr>
          <w:ilvl w:val="0"/>
          <w:numId w:val="1"/>
        </w:numPr>
        <w:tabs>
          <w:tab w:val="clear" w:pos="420"/>
        </w:tabs>
        <w:spacing w:line="360" w:lineRule="auto"/>
        <w:rPr>
          <w:color w:val="000000" w:themeColor="text1"/>
          <w:sz w:val="22"/>
          <w:szCs w:val="22"/>
          <w:lang w:val="uk-UA"/>
        </w:rPr>
      </w:pPr>
      <w:proofErr w:type="spellStart"/>
      <w:r>
        <w:rPr>
          <w:b/>
          <w:bCs/>
          <w:color w:val="000000" w:themeColor="text1"/>
          <w:sz w:val="22"/>
          <w:szCs w:val="22"/>
          <w:lang w:val="uk-UA"/>
        </w:rPr>
        <w:t>Авізування</w:t>
      </w:r>
      <w:proofErr w:type="spellEnd"/>
      <w:r>
        <w:rPr>
          <w:b/>
          <w:bCs/>
          <w:color w:val="000000" w:themeColor="text1"/>
          <w:sz w:val="22"/>
          <w:szCs w:val="22"/>
          <w:lang w:val="uk-UA"/>
        </w:rPr>
        <w:t xml:space="preserve"> акредитива </w:t>
      </w:r>
      <w:r>
        <w:rPr>
          <w:color w:val="000000" w:themeColor="text1"/>
          <w:sz w:val="22"/>
          <w:szCs w:val="22"/>
          <w:lang w:val="uk-UA"/>
        </w:rPr>
        <w:t>– офіційне повідомлення банку</w:t>
      </w:r>
      <w:r>
        <w:rPr>
          <w:color w:val="000000" w:themeColor="text1"/>
          <w:sz w:val="22"/>
          <w:szCs w:val="22"/>
          <w:lang w:val="uk-UA"/>
        </w:rPr>
        <w:t xml:space="preserve"> про відкриття, зміну або ануляцію акредитива, надіслане на паперовому носієві або за допомогою електронних коштів зв’язку.</w:t>
      </w:r>
    </w:p>
    <w:p w:rsidR="0048338A" w:rsidRDefault="007D3575">
      <w:pPr>
        <w:numPr>
          <w:ilvl w:val="0"/>
          <w:numId w:val="1"/>
        </w:numPr>
        <w:tabs>
          <w:tab w:val="clear" w:pos="420"/>
        </w:tabs>
        <w:spacing w:line="360" w:lineRule="auto"/>
        <w:rPr>
          <w:color w:val="000000" w:themeColor="text1"/>
          <w:sz w:val="22"/>
          <w:szCs w:val="22"/>
          <w:lang w:val="uk-UA"/>
        </w:rPr>
      </w:pPr>
      <w:r>
        <w:rPr>
          <w:b/>
          <w:bCs/>
          <w:color w:val="000000" w:themeColor="text1"/>
          <w:sz w:val="22"/>
          <w:szCs w:val="22"/>
          <w:lang w:val="uk-UA"/>
        </w:rPr>
        <w:lastRenderedPageBreak/>
        <w:t>Виконання акредитива</w:t>
      </w:r>
      <w:r>
        <w:rPr>
          <w:color w:val="000000" w:themeColor="text1"/>
          <w:sz w:val="22"/>
          <w:szCs w:val="22"/>
          <w:lang w:val="uk-UA"/>
        </w:rPr>
        <w:t xml:space="preserve"> – перевірка документів за акредитивом, наданих одержувачем платежу (постачальником товарів або послуг), із пода</w:t>
      </w:r>
      <w:r>
        <w:rPr>
          <w:color w:val="000000" w:themeColor="text1"/>
          <w:sz w:val="22"/>
          <w:szCs w:val="22"/>
          <w:lang w:val="uk-UA"/>
        </w:rPr>
        <w:t xml:space="preserve">льшим </w:t>
      </w:r>
      <w:proofErr w:type="spellStart"/>
      <w:r>
        <w:rPr>
          <w:color w:val="000000" w:themeColor="text1"/>
          <w:sz w:val="22"/>
          <w:szCs w:val="22"/>
          <w:lang w:val="uk-UA"/>
        </w:rPr>
        <w:t>авізуванням</w:t>
      </w:r>
      <w:proofErr w:type="spellEnd"/>
      <w:r>
        <w:rPr>
          <w:color w:val="000000" w:themeColor="text1"/>
          <w:sz w:val="22"/>
          <w:szCs w:val="22"/>
          <w:lang w:val="uk-UA"/>
        </w:rPr>
        <w:t xml:space="preserve"> банку-емітенту про виконання акредитива (тобто про необхідність перерахування коштів, якщо перерахування має здійснювати банк-емітент), якщо документи відповідають умовам акредитива (якщо документи не відповідають умовам акредитива, викон</w:t>
      </w:r>
      <w:r>
        <w:rPr>
          <w:color w:val="000000" w:themeColor="text1"/>
          <w:sz w:val="22"/>
          <w:szCs w:val="22"/>
          <w:lang w:val="uk-UA"/>
        </w:rPr>
        <w:t>ання акредитива не здійснюється або здійснюється за умови отримання банком згоди заявника на оплату документів із розбіжностями).</w:t>
      </w:r>
    </w:p>
    <w:p w:rsidR="0048338A" w:rsidRDefault="0048338A">
      <w:pPr>
        <w:spacing w:line="360" w:lineRule="auto"/>
        <w:ind w:firstLineChars="50" w:firstLine="105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ind w:firstLineChars="50" w:firstLine="141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В яких випадках використовується акредитив?</w:t>
      </w:r>
    </w:p>
    <w:p w:rsidR="0048338A" w:rsidRDefault="0048338A">
      <w:pPr>
        <w:spacing w:line="360" w:lineRule="auto"/>
        <w:ind w:firstLineChars="50" w:firstLine="105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ind w:firstLineChars="50" w:firstLine="105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 xml:space="preserve">Під час поставок товарів і надання послуг ризики можуть з’явитися на різних </w:t>
      </w:r>
      <w:r>
        <w:rPr>
          <w:color w:val="000000" w:themeColor="text1"/>
          <w:sz w:val="21"/>
          <w:szCs w:val="21"/>
          <w:lang w:val="uk-UA"/>
        </w:rPr>
        <w:t xml:space="preserve">етапах: від придбання сировини, виготовлення та зберігання товарів до своєчасної поставки/надання послуг і платежу. Використання акредитивних розрахунків дозволяє в таких ситуаціях захистити інтереси як продавця, так і покупця. Для покупця найважливішим є </w:t>
      </w:r>
      <w:r>
        <w:rPr>
          <w:color w:val="000000" w:themeColor="text1"/>
          <w:sz w:val="21"/>
          <w:szCs w:val="21"/>
          <w:lang w:val="uk-UA"/>
        </w:rPr>
        <w:t>належним чином здійснені поставка товару/надання робіт/послуг, у той час як для продавця – своєчасне отримання платежу. Пов’язані з цим ризики загострюються під час складних економічних ситуацій, коли покупцеві складно оцінити надійність продавця. Те ж сам</w:t>
      </w:r>
      <w:r>
        <w:rPr>
          <w:color w:val="000000" w:themeColor="text1"/>
          <w:sz w:val="21"/>
          <w:szCs w:val="21"/>
          <w:lang w:val="uk-UA"/>
        </w:rPr>
        <w:t xml:space="preserve">е, природно, стосується і продавця: під час продажу він бере на себе ризики, пов’язані як із перевезенням товарів, так і з </w:t>
      </w:r>
      <w:proofErr w:type="spellStart"/>
      <w:r>
        <w:rPr>
          <w:color w:val="000000" w:themeColor="text1"/>
          <w:sz w:val="21"/>
          <w:szCs w:val="21"/>
          <w:lang w:val="uk-UA"/>
        </w:rPr>
        <w:t>неоплатою</w:t>
      </w:r>
      <w:proofErr w:type="spellEnd"/>
      <w:r>
        <w:rPr>
          <w:color w:val="000000" w:themeColor="text1"/>
          <w:sz w:val="21"/>
          <w:szCs w:val="21"/>
          <w:lang w:val="uk-UA"/>
        </w:rPr>
        <w:t>.</w:t>
      </w:r>
    </w:p>
    <w:p w:rsidR="0048338A" w:rsidRDefault="007D3575">
      <w:pPr>
        <w:spacing w:line="360" w:lineRule="auto"/>
        <w:ind w:firstLineChars="50" w:firstLine="105"/>
        <w:rPr>
          <w:color w:val="000000" w:themeColor="text1"/>
          <w:sz w:val="21"/>
          <w:szCs w:val="21"/>
          <w:lang w:val="uk-UA"/>
        </w:rPr>
      </w:pPr>
      <w:r>
        <w:rPr>
          <w:b/>
          <w:bCs/>
          <w:color w:val="000000" w:themeColor="text1"/>
          <w:sz w:val="21"/>
          <w:szCs w:val="21"/>
          <w:lang w:val="uk-UA"/>
        </w:rPr>
        <w:t xml:space="preserve"> Найчастіше акредитив використовується в розрахунках у таких випадках: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-ділові партнери установили нові, неперевірені діло</w:t>
      </w:r>
      <w:r>
        <w:rPr>
          <w:color w:val="000000" w:themeColor="text1"/>
          <w:sz w:val="21"/>
          <w:szCs w:val="21"/>
          <w:lang w:val="uk-UA"/>
        </w:rPr>
        <w:t>ві відносини;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-продавець не впевнений у платоспроможності покупця, а покупець не впевнений у спроможності -продавця поставити товар/виконати роботи/надати послуги;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-об’єктом договору є великі проекти або товари, виготовлені за спеціальним замовленням.</w:t>
      </w:r>
    </w:p>
    <w:p w:rsidR="0048338A" w:rsidRDefault="0048338A">
      <w:pPr>
        <w:spacing w:line="360" w:lineRule="auto"/>
        <w:rPr>
          <w:b/>
          <w:bCs/>
          <w:color w:val="000000" w:themeColor="text1"/>
          <w:sz w:val="28"/>
          <w:szCs w:val="28"/>
          <w:lang w:val="uk-UA"/>
        </w:rPr>
      </w:pPr>
    </w:p>
    <w:p w:rsidR="0048338A" w:rsidRDefault="007D3575">
      <w:pPr>
        <w:spacing w:line="360" w:lineRule="auto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Ско</w:t>
      </w:r>
      <w:r>
        <w:rPr>
          <w:b/>
          <w:bCs/>
          <w:color w:val="000000" w:themeColor="text1"/>
          <w:sz w:val="28"/>
          <w:szCs w:val="28"/>
          <w:lang w:val="uk-UA"/>
        </w:rPr>
        <w:t>ристатися акредитивом вигідно, якщо: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-є необхідність отримати гарантії виконання зобов’язань за договором іншою стороною;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-сторони укладають угоду на велику суму;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-працюєте з новими партнерами, ділові відносини з якими ще не перевірені;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-є необхідність сув</w:t>
      </w:r>
      <w:r>
        <w:rPr>
          <w:color w:val="000000" w:themeColor="text1"/>
          <w:sz w:val="21"/>
          <w:szCs w:val="21"/>
          <w:lang w:val="uk-UA"/>
        </w:rPr>
        <w:t>орого контролю ряду умов і зобов’язань сторін один перед одним.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b/>
          <w:bCs/>
          <w:color w:val="000000" w:themeColor="text1"/>
          <w:sz w:val="21"/>
          <w:szCs w:val="21"/>
          <w:lang w:val="uk-UA"/>
        </w:rPr>
        <w:lastRenderedPageBreak/>
        <w:t xml:space="preserve">Покритий акредитив </w:t>
      </w:r>
      <w:r>
        <w:rPr>
          <w:color w:val="000000" w:themeColor="text1"/>
          <w:sz w:val="21"/>
          <w:szCs w:val="21"/>
          <w:lang w:val="uk-UA"/>
        </w:rPr>
        <w:t>оформлюється, якщо у Вас є вільні кошти, які Ви зараховуєте на рахунок покриття і самі забезпечуєте угоду.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rPr>
          <w:b/>
          <w:bCs/>
          <w:color w:val="000000" w:themeColor="text1"/>
          <w:sz w:val="21"/>
          <w:szCs w:val="21"/>
          <w:lang w:val="uk-UA"/>
        </w:rPr>
      </w:pPr>
      <w:r>
        <w:rPr>
          <w:b/>
          <w:bCs/>
          <w:color w:val="000000" w:themeColor="text1"/>
          <w:sz w:val="21"/>
          <w:szCs w:val="21"/>
          <w:lang w:val="uk-UA"/>
        </w:rPr>
        <w:t>Переваги: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 xml:space="preserve">-мінімальні комісії у разі оформлення, оскільки Ви не </w:t>
      </w:r>
      <w:r>
        <w:rPr>
          <w:color w:val="000000" w:themeColor="text1"/>
          <w:sz w:val="21"/>
          <w:szCs w:val="21"/>
          <w:lang w:val="uk-UA"/>
        </w:rPr>
        <w:t>використовуєте кредитні кошти;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-на Ваші гроші на рахунку покриття нараховуються проценти, як за поточним депозитом;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-строк оформлення – до 2 днів.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b/>
          <w:bCs/>
          <w:color w:val="000000" w:themeColor="text1"/>
          <w:sz w:val="21"/>
          <w:szCs w:val="21"/>
          <w:lang w:val="uk-UA"/>
        </w:rPr>
        <w:t>Непокритий акредитив</w:t>
      </w:r>
      <w:r>
        <w:rPr>
          <w:color w:val="000000" w:themeColor="text1"/>
          <w:sz w:val="21"/>
          <w:szCs w:val="21"/>
          <w:lang w:val="uk-UA"/>
        </w:rPr>
        <w:t xml:space="preserve"> оформлюється, якщо для забезпечення угоди Ви користуєтесь кредитними коштами банку. У т</w:t>
      </w:r>
      <w:r>
        <w:rPr>
          <w:color w:val="000000" w:themeColor="text1"/>
          <w:sz w:val="21"/>
          <w:szCs w:val="21"/>
          <w:lang w:val="uk-UA"/>
        </w:rPr>
        <w:t>акому випадку оформлюється застава (кошти на депозитах, рухоме або нерухоме майно юридичної або фізичної особи).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spacing w:line="360" w:lineRule="auto"/>
        <w:rPr>
          <w:b/>
          <w:bCs/>
          <w:color w:val="000000" w:themeColor="text1"/>
          <w:sz w:val="21"/>
          <w:szCs w:val="21"/>
          <w:lang w:val="uk-UA"/>
        </w:rPr>
      </w:pPr>
      <w:r>
        <w:rPr>
          <w:b/>
          <w:bCs/>
          <w:color w:val="000000" w:themeColor="text1"/>
          <w:sz w:val="21"/>
          <w:szCs w:val="21"/>
          <w:lang w:val="uk-UA"/>
        </w:rPr>
        <w:t>Переваги: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-не відволікаються кошти з обігу;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-конкурентні тарифи;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-строк оформлення – до 1 тижня.</w:t>
      </w:r>
    </w:p>
    <w:p w:rsidR="0048338A" w:rsidRDefault="007D3575">
      <w:pPr>
        <w:spacing w:line="360" w:lineRule="auto"/>
        <w:jc w:val="center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Список використаних джерел</w:t>
      </w: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numPr>
          <w:ilvl w:val="0"/>
          <w:numId w:val="2"/>
        </w:num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Положення про порядок здійснення банками операцій за акредитивами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bookmarkStart w:id="0" w:name="_GoBack"/>
      <w:r>
        <w:rPr>
          <w:color w:val="000000" w:themeColor="text1"/>
          <w:sz w:val="21"/>
          <w:szCs w:val="21"/>
          <w:lang w:val="uk-UA"/>
        </w:rPr>
        <w:t xml:space="preserve">   </w:t>
      </w:r>
      <w:hyperlink r:id="rId6" w:history="1">
        <w:r>
          <w:rPr>
            <w:rStyle w:val="a5"/>
            <w:color w:val="000000" w:themeColor="text1"/>
            <w:sz w:val="21"/>
            <w:szCs w:val="21"/>
            <w:lang w:val="uk-UA"/>
          </w:rPr>
          <w:t>https://zakon.rada.gov.ua/laws/show/z1213-03</w:t>
        </w:r>
      </w:hyperlink>
    </w:p>
    <w:bookmarkEnd w:id="0"/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7D3575">
      <w:pPr>
        <w:numPr>
          <w:ilvl w:val="0"/>
          <w:numId w:val="2"/>
        </w:num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>Акредитиви по Україні</w:t>
      </w:r>
    </w:p>
    <w:p w:rsidR="0048338A" w:rsidRDefault="007D3575">
      <w:pPr>
        <w:spacing w:line="360" w:lineRule="auto"/>
        <w:rPr>
          <w:color w:val="000000" w:themeColor="text1"/>
          <w:sz w:val="21"/>
          <w:szCs w:val="21"/>
          <w:lang w:val="uk-UA"/>
        </w:rPr>
      </w:pPr>
      <w:r>
        <w:rPr>
          <w:color w:val="000000" w:themeColor="text1"/>
          <w:sz w:val="21"/>
          <w:szCs w:val="21"/>
          <w:lang w:val="uk-UA"/>
        </w:rPr>
        <w:t xml:space="preserve">   </w:t>
      </w:r>
      <w:hyperlink r:id="rId7" w:history="1">
        <w:r>
          <w:rPr>
            <w:rStyle w:val="a5"/>
            <w:color w:val="000000" w:themeColor="text1"/>
            <w:sz w:val="21"/>
            <w:szCs w:val="21"/>
            <w:lang w:val="uk-UA"/>
          </w:rPr>
          <w:t>https://privatbank.ua/business/akkreditivnoe-obsluzhivanie</w:t>
        </w:r>
      </w:hyperlink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p w:rsidR="0048338A" w:rsidRDefault="0048338A">
      <w:pPr>
        <w:spacing w:line="360" w:lineRule="auto"/>
        <w:rPr>
          <w:color w:val="000000" w:themeColor="text1"/>
          <w:sz w:val="21"/>
          <w:szCs w:val="21"/>
          <w:lang w:val="uk-UA"/>
        </w:rPr>
      </w:pPr>
    </w:p>
    <w:sectPr w:rsidR="0048338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65E7F16"/>
    <w:multiLevelType w:val="singleLevel"/>
    <w:tmpl w:val="C65E7F1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CF707CD1"/>
    <w:multiLevelType w:val="singleLevel"/>
    <w:tmpl w:val="CF707CD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A4A58"/>
    <w:rsid w:val="0048338A"/>
    <w:rsid w:val="00737B9B"/>
    <w:rsid w:val="007D3575"/>
    <w:rsid w:val="00965E08"/>
    <w:rsid w:val="4D932E9B"/>
    <w:rsid w:val="7B7A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6C038D-CFDA-4D0A-BFAF-1F9F7467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next w:val="a"/>
    <w:qFormat/>
    <w:pPr>
      <w:spacing w:beforeAutospacing="1" w:after="0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="0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a4">
    <w:name w:val="Emphasis"/>
    <w:basedOn w:val="a0"/>
    <w:qFormat/>
    <w:rPr>
      <w:i/>
      <w:iCs/>
    </w:rPr>
  </w:style>
  <w:style w:type="character" w:styleId="a5">
    <w:name w:val="Hyperlink"/>
    <w:basedOn w:val="a0"/>
    <w:rPr>
      <w:color w:val="0000FF"/>
      <w:u w:val="single"/>
    </w:rPr>
  </w:style>
  <w:style w:type="character" w:styleId="a6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ivatbank.ua/business/akkreditivnoe-obsluzhivan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z1213-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3</cp:revision>
  <dcterms:created xsi:type="dcterms:W3CDTF">2020-03-17T13:20:00Z</dcterms:created>
  <dcterms:modified xsi:type="dcterms:W3CDTF">2020-03-20T11:34:00Z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1049-11.2.0.9085</vt:lpwstr>
  </property>
</Properties>
</file>