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Принципи бухгалтерського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організацію бухгалтерського обліку несе: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складається з таких взаємопов'язаних напрямів: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Технічний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 організацію бухгалтерського обліку не впливає: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Вибір форми ведення бухгалтерського обліку належить до такого напряму організації обліку, як: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залежить від: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знаходиться в компетенції: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Раціональна організація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Першим етапом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НП(С)БО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фінансової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автономності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послідовності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безперервності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єдиного грошового вимірника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превалювання сутності над формою 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нормативного регулювання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Загальні принципи формування, склад і структура бухгалтерської звітності визначено документом: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формування та розробку облікової політики покладається на: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– це: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Необхідність визначення облікової політики підприємства пов’язане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Оформлення внутрішнього нормативного документа підприємства щодо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підприємства оформляється: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Документ з облікової політики підприємства може мати наступні розділи: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Положення про облікову політику підприємства набирає юридичної сили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документі з облікової політики підприємства має бути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«Методика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«Техніка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иємства може змінюватись, якщо: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Зміни облікової політики підприємства повинні бути обґрунтовані та розкриті 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ознайомленні з обліковою політикою підприємства можуть бути зацікавлені наступні категорії користувачів інформації: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Порядок захисту відомостей, які складають конфіденційну інформацію 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Оцінка запасів і готової продукції, списання витрат майбутніх періодів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Форма організації бухгалтерського обліку; організація роботи бухгалтерської служби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Елементом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Об’єктом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Суб’єктами розробки облікової політики підприємства можуть бути: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найвпливовіших зовнішніх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Принципом бухгалтерського обліку, відповідно до якого передбачено постійне (з року в рік) застосування обраної облікової політики підприємством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реалізація облікової політики можлива на таких </w:t>
            </w:r>
            <w:r w:rsidRPr="00EE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основних рівнях: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 державному рівні встановлюються такі положення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Які із зазначених нормативних актів не мають впливу на формування облікової політики підприємства: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 повинно висвітлювати обрану облікову політику шляхом: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Обов'язковою для розкриття у обліковій політиці підприємства є така інформація про основні засоби: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На рівні облікової політики підприємства розробляється: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Облікова політика підприємства повинна залишатися незмінною протягом: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Для розкриття особливостей обліку запасів, у обліковій політиці підприємства зазначається інформація про: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7327C4" w:rsidRPr="00EE541E" w:rsidRDefault="007327C4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Розробка форм облікових регістрів відноситься до: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Вибір форми ведення бухгалтерського обліку зазначається 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Господарські операції повинні відображатися в регістрах бухгалтерського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Принцип поділу синтетичного обліку на хронологічний та систематичний застосовується в наступній формі ведення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Спрощена форма обліку може використовуватись: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Ведення бухгалтерського обліку за допомогою комп’ютера дає можливість: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Основні відмінності між журнальною формою обліку і комп’ютерною полягають 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Робочий план рахунків підприємства: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На робочий план рахунків не впливає: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паперових форм ведення бухгалтерського обліку належать: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форми ведення бухгалтерського обліку відносять: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облікового процесу за технологічною послідовністю оброблення облікової інформації передбачає поділ обліку на: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На етапі систематизації облікових даних використовують наступні види носіїв: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облікових регістрів відносяться: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ґрунтується на застосуванні журналів-ордерів, де збираються і систематизуються дані первинних документів: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передбачає використання Журналу обліку господарських операцій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Один з елементів облікової політики підприємства, в якому передбачаються синтетичні та аналітичні рахунки бухгалтерського обліку підприємства,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облікових регістрів, які використовуються у певній послідовності та взаємодії для ведення обліку, має назву: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Процес обробки отриманих інформаційних даних про факти господарського життя підприємства і узагальнення отриманих результатів у вигляді звітної інформації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Обліковий процес як технологічна сукупність складається з наступних етапів: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етапі підсумкового обліку використовують наступні види носіїв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 має відповідати наступним вимогам: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7327C4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685">
              <w:rPr>
                <w:rFonts w:ascii="Times New Roman" w:eastAsia="Calibri" w:hAnsi="Times New Roman" w:cs="Times New Roman"/>
                <w:sz w:val="28"/>
                <w:szCs w:val="28"/>
              </w:rPr>
              <w:t>Регістри бухгалтерського обліку повинні мати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7327C4" w:rsidRPr="0061131C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Відповідальність за   несвоєчасне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>регістрів бухгалтерського обліку та  недостовірність відображених у них даних несуть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0E4F3E" w:rsidRPr="00F9536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36B">
              <w:rPr>
                <w:rFonts w:ascii="Times New Roman" w:hAnsi="Times New Roman" w:cs="Times New Roman"/>
                <w:sz w:val="28"/>
                <w:szCs w:val="28"/>
              </w:rPr>
              <w:t>Друкована форма документу з реквізитами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повинні бути складені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призначені для оформлення ряду господар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ьких операцій на всіх підприємствах, відносяться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передбачають наявність типових бланків, затверджених у встановленому порядку,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розробляються на підприємстві та складаються без використання типових бланків,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на підставі первинних шляхом групування і узагальнення їх показників,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у момент здійснення господарської операції або одразу після її закінчення,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Форми типових первинних бухгалтерських документів затверджуються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Обов’язковими реквізитами первинних документів 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Не є обов'язковими реквізитами документа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Перелік осіб, що мають право підпису первинних облікових документів, затверджує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Виправлення допущених помилок чи неправильних записів не допускаються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можуть бути прийняті до обліку в тому випадку, якщо вони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Переведення натуральних і трудових вимірників, зазначених у документі, в грошовий вимірник та зазначення у відповідних графах документу суми – грошової оцінки оформлених натуральних показників господарської операції,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в документі кореспондуючих рахунків, на яких має відображатися документально підтверджена операція,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Об’єднання однорідних за змістом і за визначений період первинних документів у групи з подальшою реєстрацією їх у групувальних відомостях для визначення загального підсумку за кожною групою, </w:t>
            </w:r>
            <w:r w:rsidRPr="006B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105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ціни в первинному документі, якщо вона відсутня, належить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</w:t>
            </w:r>
            <w:proofErr w:type="gram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Організована система створення, перевірки та обробки первинних документів в бухгалтерському обліку від моменту їх створення до передачі в архів,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Графік документообігу містить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Розробка механізму управління документообігом є необхідною складовою організації бухгалтерського обліку, що 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Документообіг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включає наступні основні стадії: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Документообіг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Формування документообігу залежить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господарськими операціями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фізичними та юридичними особами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Термін зберігання касових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ентів на підприємстві становить: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Архів, який створюється в бухгалтерії для зберігання документів на поточний рік,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Перед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 до архіву первинні документи: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0E4F3E" w:rsidRPr="005D042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головна інформація зазначається у довідці для архіву про первинний документ?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Вилучення справ з архіву оформлюється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Постійний архів підприємства повинен розміщуватись: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2E">
              <w:rPr>
                <w:rFonts w:ascii="Times New Roman" w:hAnsi="Times New Roman" w:cs="Times New Roman"/>
                <w:sz w:val="28"/>
                <w:szCs w:val="28"/>
              </w:rPr>
              <w:t>Обов’язок забезпечити всі необхідні умови для фіксування фактів здійснення всіх господарських операцій у первинних документах покладається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неправильне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 несвоєчасне </w:t>
            </w: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>складання первинних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покладена на: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0E4F3E" w:rsidRPr="00A02183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схоронність оброблених документів, облікових регістрів і звітності протягом </w:t>
            </w:r>
            <w:proofErr w:type="spellStart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законодавством строку несе:</w:t>
            </w: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якими оформляють виконані господарські операції і підтверджують факт здійснення цих операцій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що надходять у дане господарство від інших підприємств, організацій та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бухгалтерських документів пред'являють наступні вимоги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необоротних активів є: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Об’єкт основних засобів визнається активом, якщо: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Строком корисного використання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основного </w:t>
            </w:r>
            <w:proofErr w:type="spellStart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вважається: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Фактична собівартість необоротних активів у сумі грошових коштів або справедливої вартості інших активів, сплачених, витрачених для придбання необоротних активів,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До первісної вартості основних засобів не включаються: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однотипних за технічними характеристиками, призначенням та умовами використання необоротних матеріальних активів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 скільки груп поділяються основні засоби та інші необоротні активи згідно податкового законодавства: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Знос основних засобів поділяється на види: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2344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Сума амортизації об’єкта основних засобів з початку його корисного використання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амортизації основних засобів проводиться: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об’єкта основних засобів нараховується, починаючи з: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Місячна сума амортизації визначається як добуток фактичного місячного обсягу продукції та виробничої ставки амортизації при: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Діленням кількості років, що залишилися до кінця строку корисного використання об’єкта  основних засобів,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 чисел років його корисного використання визначається: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Залишкова вартість основних засобів визначається як: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 Підприємство може переоцінювати об’єкт основних засобів,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Індекс переоцінки основних засо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бів визначається шляхом ділення: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індекс переоцінки основних засобів більший значення «1»,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156BBF" w:rsidRPr="00156BBF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залишкова вартість основного засобу, що пер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еоцінюється, дорівнює нулю,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Вартісна ознака предметів, що входять до складу малоцінних необоротних матеріальних активів, становить: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156BBF" w:rsidRPr="00F3742D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Немонетарні активи, які не мають матеріально-речової форми та можуть бути ідентифіковані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Строк використання нематеріального активу може бути: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скільки груп поділяються нематеріальні активи згідно податкового законодавства: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Якої групи нематеріальних активів не існує: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Однією з передумов правильної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Одним з основних завдань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виробів на складі, обробка яких закінчена та які пройшли випробування, приймання, укомплектовані згідно з умовами договорів із замовниками і відповідають технічним умовам, відображаються у статті: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 складу запасів не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відображаються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відпуску запасів у виробництво, продажі та іншому вибутті згідно до П(С)БО їх оцінка не здійснюється за методом: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 підприємствах роздрібної торгівлі доцільно застосовувати: 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оборотних активів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Запаси, що втратили свою первісну очікувану економічну вигоду, в обліку відображаються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Сукупність прийомів розподілу витрат підприємства за калькуляційними статтями та віднесення їх до об’єкту калькулювання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Брак у виробництві за характером дефектів у виробах поділяється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Грошові кошти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Ліміт залишку готівки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Готівка в касі, яка перевищує встановлений ліміт на кінець робочого дня: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штатним розкладом не передбачено посаду касира, його обов’язки може виконувати: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перевірки виконання касиром касової дисципліни застосовують: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активів, –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Дебіторська заборгованість щодо якої існує невпевненість у погашенні її боржником,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Резерв сумнівних боргів нараховується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Скільки існує методів визначення величини резерву сумнівних боргів: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Організація бухгалтерського обліку пасивів повинна: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Завданнями організації бухгалтерського обліку пасивів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Власним капіталом визнають: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Залежно від способу утворення та формування статутного фонду в Україні діють підприємства: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Установчим документом акціонерного товариства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 є документом, який: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організації обліку власного капіталу необхідно враховувати: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Статутний капітал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формування статутного капіталу господарського товариства забороняється використовувати: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Зміни розміру статутного капіталу слід обов’язково підтверджувати зміною документів в органах </w:t>
            </w:r>
            <w:proofErr w:type="spellStart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 при: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Сума заборгованості власників (учасників) за внесками до статутного капіталу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статутного капіталу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нерозподіленого прибутку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об’єктів облікової політики забезпечення зобов’язань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Зобов’язання визнається у випадку,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Якщо на дату балансу раніше визнане зобов’язання не підлягає погашенню, то його сума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цілей бухгалтерського обліку зобов’язання поділяються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поточних зобов’язань не включають: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Поточні зобов’язання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довгострокових зобов’язань не належать: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довгострокових позик ведеться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Довгострокові зобов’язання, на які нараховуються відсотки,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за податками та платежами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 постачальниками не може вестись в розрізі: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Облік зобов’язань з оренди ведеться на підставі: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категорії бланків суворої звітності належить: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основних форм оплати праці відносяться: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Система оплати праці, за якою заробіток залежить від кількості відпрацьованого часу та тарифної ставки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документів з особового складу, які підтверджують трудові відносини працівника з роботодавцем,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Основними даними для нарахування заробітної плати за відрядною системою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Заробітну плату неможливо виплатити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Суми створених забезпечень визнаються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Підставою для призначення допомоги з тимчасової непрацездатності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 якому розмірі надається допомога з тимчасової непрацездатності особам, страховий стаж яких понад 8 років: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відпускних (за рахунок витрат або через створення забезпечень майбутніх витрат) затверджується: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Доходом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Основними завданнями організації обліку витрат і доходів, а також фінансових результатів підприємства є забезпечення: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об’єктів облікової політики щодо витрат відносять: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Витрати, пов’язані з обслуговуванням виробництва і управлінням ним в масштабі всього підприємства, це 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адміністративних витрат відносяться: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виробничої собівартості не входить: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загальновиробничих витрат не входять: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До методів оцінки ступеня завершеності операції за поданням послуг відноситься: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Групування витрат за економічними елементами здійснюється на </w:t>
            </w:r>
            <w:r w:rsidRPr="00694427">
              <w:rPr>
                <w:sz w:val="28"/>
                <w:szCs w:val="28"/>
                <w:lang w:val="uk-UA"/>
              </w:rPr>
              <w:lastRenderedPageBreak/>
              <w:t>підприємствах: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221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Аналітичний облік доходів від реалізації необхідно організовувати за видами (групами):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Аналітичний облік фінансових результатів ведеться за: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Чи може підприємство самостійно розробляти додаткові субрахунки та аналітичні рахунки для обліку витрат, доходів і результатів діяльності: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визнається під час: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Не визнаються доходами наступні надходження: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Визнані доходи класифікуються в бухгалтерському обліку за наступними групами: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від реалізації продукції визнається у разі наявності наступних умов: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виробничої собівартості продукції (робіт, послуг)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Дохід, який виникає в результаті використання активів підприємства іншими сторонами, визнається у вигляді: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8887" w:type="dxa"/>
          </w:tcPr>
          <w:p w:rsidR="007135FB" w:rsidRPr="00694427" w:rsidRDefault="007135FB" w:rsidP="00713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Загальновиробничі витрати поділяються на: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змінних загальновиробничих витрат належать витрати на обслуговування і управління виробництвом, 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TimesNewRoman" w:hAnsi="Times New Roman" w:cs="Times New Roman"/>
                <w:sz w:val="28"/>
                <w:szCs w:val="28"/>
              </w:rPr>
              <w:t>Первинними документами для відображення доходів від реалізації, інших операційних доходів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6057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Фінансова звітність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</w:rPr>
            </w:pPr>
            <w:r w:rsidRPr="00F401D5">
              <w:rPr>
                <w:sz w:val="28"/>
                <w:szCs w:val="28"/>
                <w:lang w:val="uk-UA"/>
              </w:rPr>
              <w:t xml:space="preserve">Фінансова звітність складається з: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401D5">
              <w:rPr>
                <w:sz w:val="28"/>
                <w:szCs w:val="28"/>
                <w:lang w:val="uk-UA"/>
              </w:rPr>
              <w:t>Бухгалтерський баланс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НП(С)БО або МСФЗ,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239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401D5">
              <w:rPr>
                <w:rFonts w:ascii="Times New Roman" w:eastAsia="TimesNew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1BEE">
              <w:rPr>
                <w:rFonts w:ascii="Times New Roman" w:eastAsia="TimesNewRoman" w:hAnsi="Times New Roman" w:cs="Times New Roman"/>
                <w:sz w:val="28"/>
                <w:szCs w:val="28"/>
              </w:rPr>
              <w:t>Стаття наводиться у фінансовій звітності, якщо: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</w:t>
            </w:r>
          </w:p>
        </w:tc>
        <w:tc>
          <w:tcPr>
            <w:tcW w:w="8887" w:type="dxa"/>
          </w:tcPr>
          <w:p w:rsidR="007135FB" w:rsidRPr="00B41BEE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6975">
              <w:rPr>
                <w:rFonts w:ascii="Times New Roman" w:eastAsia="TimesNewRoman" w:hAnsi="Times New Roman" w:cs="Times New Roman"/>
                <w:sz w:val="28"/>
                <w:szCs w:val="28"/>
              </w:rPr>
              <w:t>Інформація, відсутність якої може вплинути на рішення користувачів фінансової звітності, називається: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</w:t>
            </w:r>
          </w:p>
        </w:tc>
        <w:tc>
          <w:tcPr>
            <w:tcW w:w="8887" w:type="dxa"/>
          </w:tcPr>
          <w:p w:rsidR="007135FB" w:rsidRPr="00BD4883" w:rsidRDefault="007135FB" w:rsidP="00C7416C">
            <w:pPr>
              <w:pStyle w:val="HTML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Фінансова звітність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підписується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</w:t>
            </w:r>
          </w:p>
        </w:tc>
        <w:tc>
          <w:tcPr>
            <w:tcW w:w="8887" w:type="dxa"/>
          </w:tcPr>
          <w:p w:rsidR="007135FB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У разі якщо бухгалтерський облік підприємства ведеться підприємством, що провадить діяльність у  сфері  бухгалтерського  обліку та/або аудиторської діяльності, фінансову звітність підписують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Зві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тним періодом для  складання </w:t>
            </w: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фінансової звітності є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Складання Пояснювальної записки до квартального звіту: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B712FC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Об’єктами організації бухгалтерського обліку для забезпечення якісного складання звітності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Об’єктом балансової політики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Консолідована фінансова звітність складається: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249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Порядок складання фінансової звітності регламентується: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8887" w:type="dxa"/>
          </w:tcPr>
          <w:p w:rsidR="007135FB" w:rsidRPr="00E75F38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  <w:lang w:val="uk-UA" w:eastAsia="en-US"/>
              </w:rPr>
            </w:pPr>
            <w:r>
              <w:rPr>
                <w:rFonts w:eastAsia="TimesNewRoman"/>
                <w:sz w:val="28"/>
                <w:szCs w:val="28"/>
                <w:lang w:val="uk-UA" w:eastAsia="en-US"/>
              </w:rPr>
              <w:t>Під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 xml:space="preserve">приємства зобов’язані подавати 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 xml:space="preserve">фінансову 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>звітність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>: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4431-A7A3-4056-A3DC-276D536E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Фотиния</cp:lastModifiedBy>
  <cp:revision>2</cp:revision>
  <cp:lastPrinted>2019-09-04T12:38:00Z</cp:lastPrinted>
  <dcterms:created xsi:type="dcterms:W3CDTF">2019-09-04T14:30:00Z</dcterms:created>
  <dcterms:modified xsi:type="dcterms:W3CDTF">2019-09-04T14:30:00Z</dcterms:modified>
</cp:coreProperties>
</file>