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936"/>
        <w:gridCol w:w="5918"/>
      </w:tblGrid>
      <w:tr w:rsidR="007F650E" w:rsidRPr="00377B5A" w:rsidTr="00377B5A">
        <w:tc>
          <w:tcPr>
            <w:tcW w:w="9854" w:type="dxa"/>
            <w:gridSpan w:val="2"/>
            <w:vAlign w:val="center"/>
          </w:tcPr>
          <w:p w:rsidR="007F650E" w:rsidRPr="00377B5A" w:rsidRDefault="007F650E" w:rsidP="00377B5A">
            <w:pPr>
              <w:spacing w:after="0" w:line="240" w:lineRule="auto"/>
              <w:jc w:val="center"/>
              <w:rPr>
                <w:rFonts w:ascii="Times New Roman" w:hAnsi="Times New Roman"/>
                <w:sz w:val="28"/>
                <w:szCs w:val="28"/>
                <w:lang w:val="uk-UA"/>
              </w:rPr>
            </w:pPr>
            <w:r>
              <w:rPr>
                <w:rFonts w:ascii="Times New Roman" w:hAnsi="Times New Roman"/>
                <w:sz w:val="28"/>
                <w:szCs w:val="28"/>
                <w:lang w:val="uk-UA"/>
              </w:rPr>
              <w:t>Д</w:t>
            </w:r>
            <w:r w:rsidRPr="00377B5A">
              <w:rPr>
                <w:rFonts w:ascii="Times New Roman" w:hAnsi="Times New Roman"/>
                <w:sz w:val="28"/>
                <w:szCs w:val="28"/>
                <w:lang w:val="uk-UA"/>
              </w:rPr>
              <w:t>ержавний університет</w:t>
            </w:r>
            <w:r>
              <w:rPr>
                <w:rFonts w:ascii="Times New Roman" w:hAnsi="Times New Roman"/>
                <w:sz w:val="28"/>
                <w:szCs w:val="28"/>
                <w:lang w:val="uk-UA"/>
              </w:rPr>
              <w:t xml:space="preserve"> «Житомирська політехніка»</w:t>
            </w: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 xml:space="preserve">Факультет </w:t>
            </w:r>
            <w:r>
              <w:rPr>
                <w:rFonts w:ascii="Times New Roman" w:hAnsi="Times New Roman"/>
                <w:sz w:val="28"/>
                <w:szCs w:val="28"/>
                <w:lang w:val="uk-UA"/>
              </w:rPr>
              <w:t>бізнесу</w:t>
            </w:r>
            <w:r w:rsidRPr="00377B5A">
              <w:rPr>
                <w:rFonts w:ascii="Times New Roman" w:hAnsi="Times New Roman"/>
                <w:sz w:val="28"/>
                <w:szCs w:val="28"/>
                <w:lang w:val="uk-UA"/>
              </w:rPr>
              <w:t xml:space="preserve"> та </w:t>
            </w:r>
            <w:r>
              <w:rPr>
                <w:rFonts w:ascii="Times New Roman" w:hAnsi="Times New Roman"/>
                <w:sz w:val="28"/>
                <w:szCs w:val="28"/>
                <w:lang w:val="uk-UA"/>
              </w:rPr>
              <w:t>сервісного обслуговування</w:t>
            </w: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 xml:space="preserve">Кафедра </w:t>
            </w:r>
            <w:r>
              <w:rPr>
                <w:rFonts w:ascii="Times New Roman" w:hAnsi="Times New Roman"/>
                <w:sz w:val="28"/>
                <w:szCs w:val="28"/>
                <w:lang w:val="uk-UA"/>
              </w:rPr>
              <w:t>туризму</w:t>
            </w:r>
            <w:r w:rsidRPr="00377B5A">
              <w:rPr>
                <w:rFonts w:ascii="Times New Roman" w:hAnsi="Times New Roman"/>
                <w:sz w:val="28"/>
                <w:szCs w:val="28"/>
                <w:lang w:val="uk-UA"/>
              </w:rPr>
              <w:t xml:space="preserve"> і </w:t>
            </w:r>
            <w:r>
              <w:rPr>
                <w:rFonts w:ascii="Times New Roman" w:hAnsi="Times New Roman"/>
                <w:sz w:val="28"/>
                <w:szCs w:val="28"/>
                <w:lang w:val="uk-UA"/>
              </w:rPr>
              <w:t>готельно-ресторанної справи</w:t>
            </w:r>
          </w:p>
          <w:p w:rsidR="007F650E" w:rsidRPr="00377B5A" w:rsidRDefault="007F650E" w:rsidP="00377B5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Спеціальність: </w:t>
            </w:r>
            <w:r w:rsidRPr="00377B5A">
              <w:rPr>
                <w:rFonts w:ascii="Times New Roman" w:hAnsi="Times New Roman"/>
                <w:sz w:val="28"/>
                <w:szCs w:val="28"/>
                <w:lang w:val="uk-UA"/>
              </w:rPr>
              <w:t xml:space="preserve"> </w:t>
            </w:r>
            <w:r>
              <w:rPr>
                <w:rFonts w:ascii="Times New Roman" w:hAnsi="Times New Roman"/>
                <w:sz w:val="28"/>
                <w:szCs w:val="28"/>
                <w:lang w:val="uk-UA"/>
              </w:rPr>
              <w:t>242</w:t>
            </w:r>
            <w:r w:rsidRPr="00377B5A">
              <w:rPr>
                <w:rFonts w:ascii="Times New Roman" w:hAnsi="Times New Roman"/>
                <w:sz w:val="28"/>
                <w:szCs w:val="28"/>
                <w:lang w:val="uk-UA"/>
              </w:rPr>
              <w:t xml:space="preserve">  «</w:t>
            </w:r>
            <w:r>
              <w:rPr>
                <w:rFonts w:ascii="Times New Roman" w:hAnsi="Times New Roman"/>
                <w:sz w:val="28"/>
                <w:szCs w:val="28"/>
                <w:lang w:val="uk-UA"/>
              </w:rPr>
              <w:t>Туризм</w:t>
            </w:r>
            <w:r w:rsidRPr="00377B5A">
              <w:rPr>
                <w:rFonts w:ascii="Times New Roman" w:hAnsi="Times New Roman"/>
                <w:sz w:val="28"/>
                <w:szCs w:val="28"/>
                <w:lang w:val="uk-UA"/>
              </w:rPr>
              <w:t>»</w:t>
            </w: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Освітній рівень: «магістр»</w:t>
            </w:r>
          </w:p>
        </w:tc>
      </w:tr>
      <w:tr w:rsidR="007F650E" w:rsidRPr="00377B5A" w:rsidTr="00377B5A">
        <w:tc>
          <w:tcPr>
            <w:tcW w:w="3936" w:type="dxa"/>
            <w:vAlign w:val="center"/>
          </w:tcPr>
          <w:p w:rsidR="007F650E" w:rsidRPr="00377B5A" w:rsidRDefault="007F650E" w:rsidP="00377B5A">
            <w:pPr>
              <w:spacing w:after="0" w:line="240" w:lineRule="auto"/>
              <w:jc w:val="center"/>
              <w:rPr>
                <w:rFonts w:ascii="Times New Roman" w:hAnsi="Times New Roman"/>
                <w:sz w:val="28"/>
                <w:szCs w:val="28"/>
                <w:lang w:val="uk-UA"/>
              </w:rPr>
            </w:pP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«ЗАТВЕРДЖУЮ»</w:t>
            </w: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Проректор з НПР</w:t>
            </w:r>
          </w:p>
          <w:p w:rsidR="007F650E" w:rsidRPr="00377B5A" w:rsidRDefault="007F650E" w:rsidP="00377B5A">
            <w:pPr>
              <w:spacing w:after="0" w:line="240" w:lineRule="auto"/>
              <w:jc w:val="center"/>
              <w:rPr>
                <w:rFonts w:ascii="Times New Roman" w:hAnsi="Times New Roman"/>
                <w:sz w:val="28"/>
                <w:szCs w:val="28"/>
                <w:lang w:val="uk-UA"/>
              </w:rPr>
            </w:pP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_____А.В. Морозов</w:t>
            </w:r>
          </w:p>
          <w:p w:rsidR="007F650E" w:rsidRPr="00377B5A" w:rsidRDefault="007F650E" w:rsidP="00377B5A">
            <w:pPr>
              <w:spacing w:after="0" w:line="240" w:lineRule="auto"/>
              <w:jc w:val="center"/>
              <w:rPr>
                <w:rFonts w:ascii="Times New Roman" w:hAnsi="Times New Roman"/>
                <w:sz w:val="28"/>
                <w:szCs w:val="28"/>
                <w:lang w:val="uk-UA"/>
              </w:rPr>
            </w:pP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«__» ___________ 201</w:t>
            </w:r>
            <w:r>
              <w:rPr>
                <w:rFonts w:ascii="Times New Roman" w:hAnsi="Times New Roman"/>
                <w:sz w:val="28"/>
                <w:szCs w:val="28"/>
                <w:lang w:val="uk-UA"/>
              </w:rPr>
              <w:t>9</w:t>
            </w:r>
            <w:r w:rsidRPr="00377B5A">
              <w:rPr>
                <w:rFonts w:ascii="Times New Roman" w:hAnsi="Times New Roman"/>
                <w:sz w:val="28"/>
                <w:szCs w:val="28"/>
                <w:lang w:val="uk-UA"/>
              </w:rPr>
              <w:t> р.</w:t>
            </w:r>
          </w:p>
        </w:tc>
        <w:tc>
          <w:tcPr>
            <w:tcW w:w="5918" w:type="dxa"/>
            <w:vAlign w:val="center"/>
          </w:tcPr>
          <w:p w:rsidR="007F650E" w:rsidRPr="00377B5A" w:rsidRDefault="007F650E" w:rsidP="00377B5A">
            <w:pPr>
              <w:spacing w:after="0" w:line="240" w:lineRule="auto"/>
              <w:jc w:val="both"/>
              <w:rPr>
                <w:rFonts w:ascii="Times New Roman" w:hAnsi="Times New Roman"/>
                <w:sz w:val="28"/>
                <w:szCs w:val="28"/>
                <w:lang w:val="uk-UA"/>
              </w:rPr>
            </w:pPr>
          </w:p>
          <w:p w:rsidR="007F650E" w:rsidRPr="00377B5A" w:rsidRDefault="007F650E" w:rsidP="00377B5A">
            <w:pPr>
              <w:spacing w:after="0" w:line="240" w:lineRule="auto"/>
              <w:jc w:val="both"/>
              <w:rPr>
                <w:rFonts w:ascii="Times New Roman" w:hAnsi="Times New Roman"/>
                <w:sz w:val="28"/>
                <w:szCs w:val="28"/>
                <w:lang w:val="uk-UA"/>
              </w:rPr>
            </w:pPr>
            <w:r w:rsidRPr="00377B5A">
              <w:rPr>
                <w:rFonts w:ascii="Times New Roman" w:hAnsi="Times New Roman"/>
                <w:sz w:val="28"/>
                <w:szCs w:val="28"/>
                <w:lang w:val="uk-UA"/>
              </w:rPr>
              <w:t xml:space="preserve">Затверджено на засіданні кафедри </w:t>
            </w:r>
            <w:r>
              <w:rPr>
                <w:rFonts w:ascii="Times New Roman" w:hAnsi="Times New Roman"/>
                <w:sz w:val="28"/>
                <w:szCs w:val="28"/>
                <w:lang w:val="uk-UA"/>
              </w:rPr>
              <w:t>туризму</w:t>
            </w:r>
            <w:r w:rsidRPr="00377B5A">
              <w:rPr>
                <w:rFonts w:ascii="Times New Roman" w:hAnsi="Times New Roman"/>
                <w:sz w:val="28"/>
                <w:szCs w:val="28"/>
                <w:lang w:val="uk-UA"/>
              </w:rPr>
              <w:t xml:space="preserve"> і </w:t>
            </w:r>
            <w:r>
              <w:rPr>
                <w:rFonts w:ascii="Times New Roman" w:hAnsi="Times New Roman"/>
                <w:sz w:val="28"/>
                <w:szCs w:val="28"/>
                <w:lang w:val="uk-UA"/>
              </w:rPr>
              <w:t>готельно-ресторанної справи</w:t>
            </w:r>
          </w:p>
          <w:p w:rsidR="007F650E" w:rsidRPr="00377B5A" w:rsidRDefault="007F650E" w:rsidP="00377B5A">
            <w:pPr>
              <w:spacing w:after="0" w:line="240" w:lineRule="auto"/>
              <w:jc w:val="both"/>
              <w:rPr>
                <w:rFonts w:ascii="Times New Roman" w:hAnsi="Times New Roman"/>
                <w:sz w:val="28"/>
                <w:szCs w:val="28"/>
                <w:lang w:val="uk-UA"/>
              </w:rPr>
            </w:pPr>
            <w:r w:rsidRPr="00377B5A">
              <w:rPr>
                <w:rFonts w:ascii="Times New Roman" w:hAnsi="Times New Roman"/>
                <w:sz w:val="28"/>
                <w:szCs w:val="28"/>
                <w:lang w:val="uk-UA"/>
              </w:rPr>
              <w:t>Протокол №__ від «__» ___________ 201</w:t>
            </w:r>
            <w:r>
              <w:rPr>
                <w:rFonts w:ascii="Times New Roman" w:hAnsi="Times New Roman"/>
                <w:sz w:val="28"/>
                <w:szCs w:val="28"/>
                <w:lang w:val="uk-UA"/>
              </w:rPr>
              <w:t>9</w:t>
            </w:r>
            <w:r w:rsidRPr="00377B5A">
              <w:rPr>
                <w:rFonts w:ascii="Times New Roman" w:hAnsi="Times New Roman"/>
                <w:sz w:val="28"/>
                <w:szCs w:val="28"/>
                <w:lang w:val="uk-UA"/>
              </w:rPr>
              <w:t xml:space="preserve"> р. </w:t>
            </w:r>
            <w:r>
              <w:rPr>
                <w:rFonts w:ascii="Times New Roman" w:hAnsi="Times New Roman"/>
                <w:sz w:val="28"/>
                <w:szCs w:val="28"/>
                <w:lang w:val="uk-UA"/>
              </w:rPr>
              <w:t>В.о. з</w:t>
            </w:r>
            <w:r w:rsidRPr="00377B5A">
              <w:rPr>
                <w:rFonts w:ascii="Times New Roman" w:hAnsi="Times New Roman"/>
                <w:sz w:val="28"/>
                <w:szCs w:val="28"/>
                <w:lang w:val="uk-UA"/>
              </w:rPr>
              <w:t>авідувач</w:t>
            </w:r>
            <w:r>
              <w:rPr>
                <w:rFonts w:ascii="Times New Roman" w:hAnsi="Times New Roman"/>
                <w:sz w:val="28"/>
                <w:szCs w:val="28"/>
                <w:lang w:val="uk-UA"/>
              </w:rPr>
              <w:t>а</w:t>
            </w:r>
            <w:r w:rsidRPr="00377B5A">
              <w:rPr>
                <w:rFonts w:ascii="Times New Roman" w:hAnsi="Times New Roman"/>
                <w:sz w:val="28"/>
                <w:szCs w:val="28"/>
                <w:lang w:val="uk-UA"/>
              </w:rPr>
              <w:t xml:space="preserve"> кафедри </w:t>
            </w:r>
            <w:r>
              <w:rPr>
                <w:rFonts w:ascii="Times New Roman" w:hAnsi="Times New Roman"/>
                <w:sz w:val="28"/>
                <w:szCs w:val="28"/>
                <w:lang w:val="uk-UA"/>
              </w:rPr>
              <w:t>___</w:t>
            </w:r>
            <w:r w:rsidRPr="00377B5A">
              <w:rPr>
                <w:rFonts w:ascii="Times New Roman" w:hAnsi="Times New Roman"/>
                <w:sz w:val="28"/>
                <w:szCs w:val="28"/>
                <w:lang w:val="uk-UA"/>
              </w:rPr>
              <w:t xml:space="preserve">___ </w:t>
            </w:r>
            <w:r>
              <w:rPr>
                <w:rFonts w:ascii="Times New Roman" w:hAnsi="Times New Roman"/>
                <w:sz w:val="28"/>
                <w:szCs w:val="28"/>
                <w:lang w:val="uk-UA"/>
              </w:rPr>
              <w:t>Ю.В</w:t>
            </w:r>
            <w:r w:rsidRPr="00377B5A">
              <w:rPr>
                <w:rFonts w:ascii="Times New Roman" w:hAnsi="Times New Roman"/>
                <w:sz w:val="28"/>
                <w:szCs w:val="28"/>
                <w:lang w:val="uk-UA"/>
              </w:rPr>
              <w:t xml:space="preserve">. </w:t>
            </w:r>
            <w:r>
              <w:rPr>
                <w:rFonts w:ascii="Times New Roman" w:hAnsi="Times New Roman"/>
                <w:sz w:val="28"/>
                <w:szCs w:val="28"/>
                <w:lang w:val="uk-UA"/>
              </w:rPr>
              <w:t>Давид</w:t>
            </w:r>
            <w:r w:rsidRPr="00377B5A">
              <w:rPr>
                <w:rFonts w:ascii="Times New Roman" w:hAnsi="Times New Roman"/>
                <w:sz w:val="28"/>
                <w:szCs w:val="28"/>
                <w:lang w:val="uk-UA"/>
              </w:rPr>
              <w:t>юк</w:t>
            </w:r>
          </w:p>
          <w:p w:rsidR="007F650E" w:rsidRPr="00377B5A" w:rsidRDefault="007F650E" w:rsidP="00377B5A">
            <w:pPr>
              <w:spacing w:after="0" w:line="240" w:lineRule="auto"/>
              <w:jc w:val="both"/>
              <w:rPr>
                <w:rFonts w:ascii="Times New Roman" w:hAnsi="Times New Roman"/>
                <w:sz w:val="28"/>
                <w:szCs w:val="28"/>
                <w:lang w:val="uk-UA"/>
              </w:rPr>
            </w:pPr>
          </w:p>
          <w:p w:rsidR="007F650E" w:rsidRPr="00377B5A" w:rsidRDefault="007F650E" w:rsidP="00377B5A">
            <w:pPr>
              <w:spacing w:after="0" w:line="240" w:lineRule="auto"/>
              <w:jc w:val="both"/>
              <w:rPr>
                <w:rFonts w:ascii="Times New Roman" w:hAnsi="Times New Roman"/>
                <w:sz w:val="28"/>
                <w:szCs w:val="28"/>
                <w:lang w:val="uk-UA"/>
              </w:rPr>
            </w:pPr>
            <w:r w:rsidRPr="00377B5A">
              <w:rPr>
                <w:rFonts w:ascii="Times New Roman" w:hAnsi="Times New Roman"/>
                <w:sz w:val="28"/>
                <w:szCs w:val="28"/>
                <w:lang w:val="uk-UA"/>
              </w:rPr>
              <w:t>«__» ___________ 201</w:t>
            </w:r>
            <w:r>
              <w:rPr>
                <w:rFonts w:ascii="Times New Roman" w:hAnsi="Times New Roman"/>
                <w:sz w:val="28"/>
                <w:szCs w:val="28"/>
                <w:lang w:val="uk-UA"/>
              </w:rPr>
              <w:t>9</w:t>
            </w:r>
            <w:r w:rsidRPr="00377B5A">
              <w:rPr>
                <w:rFonts w:ascii="Times New Roman" w:hAnsi="Times New Roman"/>
                <w:sz w:val="28"/>
                <w:szCs w:val="28"/>
                <w:lang w:val="uk-UA"/>
              </w:rPr>
              <w:t> р.</w:t>
            </w:r>
          </w:p>
        </w:tc>
      </w:tr>
      <w:tr w:rsidR="007F650E" w:rsidRPr="00377B5A" w:rsidTr="00377B5A">
        <w:tc>
          <w:tcPr>
            <w:tcW w:w="9854" w:type="dxa"/>
            <w:gridSpan w:val="2"/>
            <w:vAlign w:val="center"/>
          </w:tcPr>
          <w:p w:rsidR="007F650E" w:rsidRPr="00377B5A" w:rsidRDefault="007F650E" w:rsidP="00377B5A">
            <w:pPr>
              <w:spacing w:after="0" w:line="240" w:lineRule="auto"/>
              <w:jc w:val="center"/>
              <w:rPr>
                <w:rFonts w:ascii="Times New Roman" w:hAnsi="Times New Roman"/>
                <w:sz w:val="28"/>
                <w:szCs w:val="28"/>
              </w:rPr>
            </w:pPr>
          </w:p>
          <w:p w:rsidR="007F650E" w:rsidRPr="00377B5A" w:rsidRDefault="007F650E" w:rsidP="00377B5A">
            <w:pPr>
              <w:spacing w:after="0" w:line="240" w:lineRule="auto"/>
              <w:jc w:val="center"/>
              <w:rPr>
                <w:rFonts w:ascii="Times New Roman" w:hAnsi="Times New Roman"/>
                <w:sz w:val="28"/>
                <w:szCs w:val="28"/>
                <w:lang w:val="uk-UA"/>
              </w:rPr>
            </w:pPr>
            <w:r w:rsidRPr="00377B5A">
              <w:rPr>
                <w:rFonts w:ascii="Times New Roman" w:hAnsi="Times New Roman"/>
                <w:sz w:val="28"/>
                <w:szCs w:val="28"/>
                <w:lang w:val="uk-UA"/>
              </w:rPr>
              <w:t>ТЕСТОВІ ЗАВДАННЯ</w:t>
            </w:r>
          </w:p>
          <w:p w:rsidR="007F650E" w:rsidRPr="00377B5A" w:rsidRDefault="007F650E" w:rsidP="00377B5A">
            <w:pPr>
              <w:spacing w:after="0" w:line="240" w:lineRule="auto"/>
              <w:jc w:val="center"/>
              <w:rPr>
                <w:rFonts w:ascii="Times New Roman" w:hAnsi="Times New Roman"/>
                <w:b/>
                <w:caps/>
                <w:sz w:val="28"/>
                <w:szCs w:val="28"/>
                <w:lang w:val="uk-UA"/>
              </w:rPr>
            </w:pPr>
            <w:r w:rsidRPr="00377B5A">
              <w:rPr>
                <w:rFonts w:ascii="Times New Roman" w:hAnsi="Times New Roman"/>
                <w:b/>
                <w:caps/>
                <w:sz w:val="28"/>
                <w:szCs w:val="28"/>
                <w:lang w:val="uk-UA"/>
              </w:rPr>
              <w:t>Корпоративне управління</w:t>
            </w:r>
          </w:p>
        </w:tc>
      </w:tr>
    </w:tbl>
    <w:p w:rsidR="007F650E" w:rsidRDefault="007F650E" w:rsidP="00A754C0">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9218"/>
      </w:tblGrid>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w:t>
            </w:r>
          </w:p>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п/п</w:t>
            </w:r>
          </w:p>
        </w:tc>
        <w:tc>
          <w:tcPr>
            <w:tcW w:w="4684"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Текст завдання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Сукупність майнових і немайнових прав акціонера – власника акцій товариства, які випливають з права власності на акції, що включають право на участь в управлінні акціонерним товариством, отримання дивідендів та активів акціонерного товариства у разі його ліквідації відповідно до закону, а також інші права та правомочності, передбачені законом чи статутними документами, називаються:</w:t>
            </w:r>
          </w:p>
        </w:tc>
        <w:bookmarkStart w:id="0" w:name="_GoBack"/>
        <w:bookmarkEnd w:id="0"/>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Юридична особа, яка від свого іменні випускає цінні папери і зобов’язується виконувати обов’язки, що випливають з умов їх випуску,</w:t>
            </w:r>
            <w:r w:rsidRPr="00377B5A">
              <w:rPr>
                <w:spacing w:val="-1"/>
                <w:sz w:val="28"/>
                <w:szCs w:val="28"/>
                <w:lang w:val="ru-RU"/>
              </w:rPr>
              <w:t xml:space="preserve"> </w:t>
            </w:r>
            <w:r w:rsidRPr="00377B5A">
              <w:rPr>
                <w:sz w:val="28"/>
                <w:szCs w:val="28"/>
                <w:lang w:val="ru-RU"/>
              </w:rPr>
              <w:t>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Головною метою корпоративного управління 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Частина прибутку (платіж), що проводиться на користь власника (довірених осіб власника) корпоративних прав, емітованих юридичною особою внаслідок розподілу частини її прибутку,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w:t>
            </w:r>
            <w:r w:rsidRPr="00377B5A">
              <w:rPr>
                <w:spacing w:val="-5"/>
                <w:sz w:val="28"/>
                <w:szCs w:val="28"/>
                <w:lang w:val="ru-RU"/>
              </w:rPr>
              <w:t xml:space="preserve"> </w:t>
            </w:r>
            <w:r w:rsidRPr="00377B5A">
              <w:rPr>
                <w:sz w:val="28"/>
                <w:szCs w:val="28"/>
                <w:lang w:val="ru-RU"/>
              </w:rPr>
              <w:t>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Переважного поширення у світі набули такі управлінські системи корпоративного</w:t>
            </w:r>
            <w:r w:rsidRPr="00377B5A">
              <w:rPr>
                <w:spacing w:val="-7"/>
                <w:sz w:val="28"/>
                <w:szCs w:val="28"/>
                <w:lang w:val="ru-RU"/>
              </w:rPr>
              <w:t xml:space="preserve"> </w:t>
            </w:r>
            <w:r w:rsidRPr="00377B5A">
              <w:rPr>
                <w:sz w:val="28"/>
                <w:szCs w:val="28"/>
                <w:lang w:val="ru-RU"/>
              </w:rPr>
              <w:t>регулювання: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Інсайдерські системи управління існують у разі,</w:t>
            </w:r>
            <w:r w:rsidRPr="00377B5A">
              <w:rPr>
                <w:spacing w:val="-12"/>
                <w:sz w:val="28"/>
                <w:szCs w:val="28"/>
                <w:lang w:val="ru-RU"/>
              </w:rPr>
              <w:t xml:space="preserve"> </w:t>
            </w:r>
            <w:r w:rsidRPr="00377B5A">
              <w:rPr>
                <w:sz w:val="28"/>
                <w:szCs w:val="28"/>
                <w:lang w:val="ru-RU"/>
              </w:rPr>
              <w:t>коли: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Аутсайдерські системи</w:t>
            </w:r>
            <w:r w:rsidRPr="00377B5A">
              <w:rPr>
                <w:spacing w:val="-1"/>
                <w:sz w:val="28"/>
                <w:szCs w:val="28"/>
                <w:lang w:val="ru-RU"/>
              </w:rPr>
              <w:t xml:space="preserve"> </w:t>
            </w:r>
            <w:r w:rsidRPr="00377B5A">
              <w:rPr>
                <w:sz w:val="28"/>
                <w:szCs w:val="28"/>
                <w:lang w:val="ru-RU"/>
              </w:rPr>
              <w:t>характеризуються: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У світі переважного поширення набули такі </w:t>
            </w:r>
            <w:r w:rsidRPr="00377B5A">
              <w:rPr>
                <w:spacing w:val="-1"/>
                <w:sz w:val="28"/>
                <w:szCs w:val="28"/>
                <w:lang w:val="ru-RU"/>
              </w:rPr>
              <w:t xml:space="preserve">моделі </w:t>
            </w:r>
            <w:r w:rsidRPr="00377B5A">
              <w:rPr>
                <w:sz w:val="28"/>
                <w:szCs w:val="28"/>
                <w:lang w:val="ru-RU"/>
              </w:rPr>
              <w:t>корпоративного</w:t>
            </w:r>
            <w:r w:rsidRPr="00377B5A">
              <w:rPr>
                <w:spacing w:val="-1"/>
                <w:sz w:val="28"/>
                <w:szCs w:val="28"/>
                <w:lang w:val="ru-RU"/>
              </w:rPr>
              <w:t xml:space="preserve"> </w:t>
            </w:r>
            <w:r w:rsidRPr="00377B5A">
              <w:rPr>
                <w:sz w:val="28"/>
                <w:szCs w:val="28"/>
                <w:lang w:val="ru-RU"/>
              </w:rPr>
              <w:t>управління: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“Інсайдер” –</w:t>
            </w:r>
            <w:r w:rsidRPr="00377B5A">
              <w:rPr>
                <w:spacing w:val="-1"/>
                <w:sz w:val="28"/>
                <w:szCs w:val="28"/>
                <w:lang w:val="ru-RU"/>
              </w:rPr>
              <w:t xml:space="preserve"> </w:t>
            </w:r>
            <w:r w:rsidRPr="00377B5A">
              <w:rPr>
                <w:sz w:val="28"/>
                <w:szCs w:val="28"/>
                <w:lang w:val="ru-RU"/>
              </w:rPr>
              <w:t>це:</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“Аутсайдер” –</w:t>
            </w:r>
            <w:r w:rsidRPr="00377B5A">
              <w:rPr>
                <w:spacing w:val="-3"/>
                <w:sz w:val="28"/>
                <w:szCs w:val="28"/>
                <w:lang w:val="ru-RU"/>
              </w:rPr>
              <w:t xml:space="preserve"> </w:t>
            </w:r>
            <w:r w:rsidRPr="00377B5A">
              <w:rPr>
                <w:sz w:val="28"/>
                <w:szCs w:val="28"/>
                <w:lang w:val="ru-RU"/>
              </w:rPr>
              <w:t>це:</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12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 переваг Японської моделі корпоративного управління відносяться: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w:t>
            </w:r>
          </w:p>
        </w:tc>
        <w:tc>
          <w:tcPr>
            <w:tcW w:w="4684" w:type="pct"/>
          </w:tcPr>
          <w:p w:rsidR="00C17033" w:rsidRPr="00377B5A" w:rsidRDefault="00C17033" w:rsidP="00377B5A">
            <w:pPr>
              <w:pStyle w:val="a3"/>
              <w:ind w:left="0"/>
              <w:jc w:val="left"/>
              <w:rPr>
                <w:color w:val="000000"/>
                <w:sz w:val="28"/>
                <w:szCs w:val="28"/>
                <w:lang w:val="ru-RU"/>
              </w:rPr>
            </w:pPr>
            <w:r w:rsidRPr="00377B5A">
              <w:rPr>
                <w:color w:val="000000"/>
                <w:sz w:val="28"/>
                <w:szCs w:val="28"/>
                <w:lang w:val="ru-RU"/>
              </w:rPr>
              <w:t xml:space="preserve">В Японській моделі корпоративного </w:t>
            </w:r>
            <w:r w:rsidRPr="00377B5A">
              <w:rPr>
                <w:color w:val="000000"/>
                <w:spacing w:val="-1"/>
                <w:sz w:val="28"/>
                <w:szCs w:val="28"/>
                <w:lang w:val="ru-RU"/>
              </w:rPr>
              <w:t xml:space="preserve">управління </w:t>
            </w:r>
            <w:r w:rsidRPr="00377B5A">
              <w:rPr>
                <w:color w:val="000000"/>
                <w:sz w:val="28"/>
                <w:szCs w:val="28"/>
                <w:lang w:val="ru-RU"/>
              </w:rPr>
              <w:t>переважаючою є</w:t>
            </w:r>
            <w:r w:rsidRPr="00377B5A">
              <w:rPr>
                <w:color w:val="000000"/>
                <w:spacing w:val="-3"/>
                <w:sz w:val="28"/>
                <w:szCs w:val="28"/>
                <w:lang w:val="ru-RU"/>
              </w:rPr>
              <w:t xml:space="preserve"> </w:t>
            </w:r>
            <w:r w:rsidRPr="00377B5A">
              <w:rPr>
                <w:color w:val="000000"/>
                <w:sz w:val="28"/>
                <w:szCs w:val="28"/>
                <w:lang w:val="ru-RU"/>
              </w:rPr>
              <w:t>система: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 ключових учасників Японської моделі корпоративного управління</w:t>
            </w:r>
            <w:r w:rsidRPr="00377B5A">
              <w:rPr>
                <w:spacing w:val="-2"/>
                <w:sz w:val="28"/>
                <w:szCs w:val="28"/>
                <w:lang w:val="ru-RU"/>
              </w:rPr>
              <w:t xml:space="preserve"> </w:t>
            </w:r>
            <w:r w:rsidRPr="00377B5A">
              <w:rPr>
                <w:sz w:val="28"/>
                <w:szCs w:val="28"/>
                <w:lang w:val="ru-RU"/>
              </w:rPr>
              <w:t>відносяться: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Склад ради директорів в Японській моделі корпоративного управління майже повністю складається</w:t>
            </w:r>
            <w:r w:rsidRPr="00377B5A">
              <w:rPr>
                <w:spacing w:val="-3"/>
                <w:sz w:val="28"/>
                <w:szCs w:val="28"/>
                <w:lang w:val="ru-RU"/>
              </w:rPr>
              <w:t xml:space="preserve"> </w:t>
            </w:r>
            <w:r w:rsidRPr="00377B5A">
              <w:rPr>
                <w:sz w:val="28"/>
                <w:szCs w:val="28"/>
                <w:lang w:val="ru-RU"/>
              </w:rPr>
              <w:t>з:</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ТОВ має наступні переваги перед АТ:</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17</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Недоліком Англо-американської моделі корпоративного управління</w:t>
            </w:r>
            <w:r w:rsidRPr="00377B5A">
              <w:rPr>
                <w:spacing w:val="-2"/>
                <w:sz w:val="28"/>
                <w:szCs w:val="28"/>
                <w:lang w:val="ru-RU"/>
              </w:rPr>
              <w:t xml:space="preserve"> </w:t>
            </w:r>
            <w:r w:rsidRPr="00377B5A">
              <w:rPr>
                <w:sz w:val="28"/>
                <w:szCs w:val="28"/>
                <w:lang w:val="ru-RU"/>
              </w:rPr>
              <w:t>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 переваг ТОВ перед АТ слід</w:t>
            </w:r>
            <w:r w:rsidRPr="00377B5A">
              <w:rPr>
                <w:spacing w:val="-5"/>
                <w:sz w:val="28"/>
                <w:szCs w:val="28"/>
                <w:lang w:val="ru-RU"/>
              </w:rPr>
              <w:t xml:space="preserve"> </w:t>
            </w:r>
            <w:r w:rsidRPr="00377B5A">
              <w:rPr>
                <w:sz w:val="28"/>
                <w:szCs w:val="28"/>
                <w:lang w:val="ru-RU"/>
              </w:rPr>
              <w:t>віднести: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19</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Характерними ознаками Англо-американської </w:t>
            </w:r>
            <w:r w:rsidRPr="00377B5A">
              <w:rPr>
                <w:spacing w:val="-1"/>
                <w:sz w:val="28"/>
                <w:szCs w:val="28"/>
                <w:lang w:val="ru-RU"/>
              </w:rPr>
              <w:t xml:space="preserve">моделі </w:t>
            </w:r>
            <w:r w:rsidRPr="00377B5A">
              <w:rPr>
                <w:sz w:val="28"/>
                <w:szCs w:val="28"/>
                <w:lang w:val="ru-RU"/>
              </w:rPr>
              <w:t>корпоративного управління</w:t>
            </w:r>
            <w:r w:rsidRPr="00377B5A">
              <w:rPr>
                <w:spacing w:val="-2"/>
                <w:sz w:val="28"/>
                <w:szCs w:val="28"/>
                <w:lang w:val="ru-RU"/>
              </w:rPr>
              <w:t xml:space="preserve"> </w:t>
            </w:r>
            <w:r w:rsidRPr="00377B5A">
              <w:rPr>
                <w:sz w:val="28"/>
                <w:szCs w:val="28"/>
                <w:lang w:val="ru-RU"/>
              </w:rPr>
              <w:t>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20</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Довгостроковими акціонерами німецьких корпорацій 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Німецька модель корпоративного управління має: </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Ключовими учасниками німецької моделі корпоративного управління</w:t>
            </w:r>
            <w:r w:rsidRPr="00377B5A">
              <w:rPr>
                <w:spacing w:val="-2"/>
                <w:sz w:val="28"/>
                <w:szCs w:val="28"/>
                <w:lang w:val="ru-RU"/>
              </w:rPr>
              <w:t xml:space="preserve"> </w:t>
            </w:r>
            <w:r w:rsidRPr="00377B5A">
              <w:rPr>
                <w:sz w:val="28"/>
                <w:szCs w:val="28"/>
                <w:lang w:val="ru-RU"/>
              </w:rPr>
              <w:t>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23</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Особливістю Української моделі корпоративного управління є</w:t>
            </w:r>
            <w:r w:rsidRPr="00377B5A">
              <w:rPr>
                <w:spacing w:val="-2"/>
                <w:sz w:val="28"/>
                <w:szCs w:val="28"/>
                <w:lang w:val="ru-RU"/>
              </w:rPr>
              <w:t xml:space="preserve"> </w:t>
            </w:r>
            <w:r w:rsidRPr="00377B5A">
              <w:rPr>
                <w:sz w:val="28"/>
                <w:szCs w:val="28"/>
                <w:lang w:val="ru-RU"/>
              </w:rPr>
              <w:t>наявність:</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Група з 20-40 потужних компаній Японії з різних галузей промисловості, кожна з яких є власником невеликого пакету акцій інших компаній,</w:t>
            </w:r>
            <w:r w:rsidRPr="00377B5A">
              <w:rPr>
                <w:spacing w:val="-7"/>
                <w:sz w:val="28"/>
                <w:szCs w:val="28"/>
                <w:lang w:val="ru-RU"/>
              </w:rPr>
              <w:t xml:space="preserve"> </w:t>
            </w:r>
            <w:r w:rsidRPr="00377B5A">
              <w:rPr>
                <w:sz w:val="28"/>
                <w:szCs w:val="28"/>
                <w:lang w:val="ru-RU"/>
              </w:rPr>
              <w:t>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Середній склад ради директорів в Японській моделі корпоративного управління</w:t>
            </w:r>
            <w:r w:rsidRPr="00377B5A">
              <w:rPr>
                <w:spacing w:val="-2"/>
                <w:sz w:val="28"/>
                <w:szCs w:val="28"/>
                <w:lang w:val="ru-RU"/>
              </w:rPr>
              <w:t xml:space="preserve"> </w:t>
            </w:r>
            <w:r w:rsidRPr="00377B5A">
              <w:rPr>
                <w:sz w:val="28"/>
                <w:szCs w:val="28"/>
                <w:lang w:val="ru-RU"/>
              </w:rPr>
              <w:t>становить:</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Середній склад ради директорів в Західноєвропейській моделі корпоративного управління складається</w:t>
            </w:r>
            <w:r w:rsidRPr="00377B5A">
              <w:rPr>
                <w:spacing w:val="-3"/>
                <w:sz w:val="28"/>
                <w:szCs w:val="28"/>
                <w:lang w:val="ru-RU"/>
              </w:rPr>
              <w:t xml:space="preserve"> </w:t>
            </w:r>
            <w:r w:rsidRPr="00377B5A">
              <w:rPr>
                <w:sz w:val="28"/>
                <w:szCs w:val="28"/>
                <w:lang w:val="ru-RU"/>
              </w:rPr>
              <w:t>з:</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27</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Середній склад ради директорів в Англо-американській моделі корпоративного управління</w:t>
            </w:r>
            <w:r w:rsidRPr="00377B5A">
              <w:rPr>
                <w:spacing w:val="-2"/>
                <w:sz w:val="28"/>
                <w:szCs w:val="28"/>
                <w:lang w:val="ru-RU"/>
              </w:rPr>
              <w:t xml:space="preserve"> </w:t>
            </w:r>
            <w:r w:rsidRPr="00377B5A">
              <w:rPr>
                <w:sz w:val="28"/>
                <w:szCs w:val="28"/>
                <w:lang w:val="ru-RU"/>
              </w:rPr>
              <w:t>становить:</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ТОВ має наступні переваги перед АТ: </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29</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w:t>
            </w:r>
            <w:r w:rsidRPr="00377B5A">
              <w:rPr>
                <w:spacing w:val="-1"/>
                <w:sz w:val="28"/>
                <w:szCs w:val="28"/>
                <w:lang w:val="ru-RU"/>
              </w:rPr>
              <w:t xml:space="preserve"> </w:t>
            </w:r>
            <w:r w:rsidRPr="00377B5A">
              <w:rPr>
                <w:sz w:val="28"/>
                <w:szCs w:val="28"/>
                <w:lang w:val="ru-RU"/>
              </w:rPr>
              <w:t>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30</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Для функціонування акціонерного товариства створюється статутний капітал, під який випускаються акції, загальна номінальна вартість яких не може бути меншою від суми, еквівалентної:</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31</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Акціонерне товариство вважається створеним і набуває прав юридичної особи з дати: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32</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Установчими документами акціонерного товариства 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33</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В залежності від здатності акцій товариства вільно обертатися акціонерні товариства поділяються на: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34</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Допуск цінних паперів до торгів на фондовій біржі або позабіржовій торговельній системі і здійснення попереднього і наступного контролю за відповідністю цінних паперів та їх емітентів умовам та вимогам, встановленим у правилах біржі або іншого організатора торгівлі,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35</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 xml:space="preserve">Метод голосування, який </w:t>
            </w:r>
            <w:r w:rsidRPr="00377B5A">
              <w:rPr>
                <w:rFonts w:ascii="Times New Roman" w:hAnsi="Times New Roman"/>
                <w:sz w:val="28"/>
                <w:szCs w:val="28"/>
                <w:lang w:val="uk-UA"/>
              </w:rPr>
              <w:t>з</w:t>
            </w:r>
            <w:r w:rsidRPr="00377B5A">
              <w:rPr>
                <w:rFonts w:ascii="Times New Roman" w:hAnsi="Times New Roman"/>
                <w:sz w:val="28"/>
                <w:szCs w:val="28"/>
              </w:rPr>
              <w:t xml:space="preserve">абезпечує обрання декількох переможців, і при цьому переможцем також вважається особа, яка не отримала абсолютної </w:t>
            </w:r>
            <w:r w:rsidRPr="00377B5A">
              <w:rPr>
                <w:rFonts w:ascii="Times New Roman" w:hAnsi="Times New Roman"/>
                <w:sz w:val="28"/>
                <w:szCs w:val="28"/>
              </w:rPr>
              <w:lastRenderedPageBreak/>
              <w:t>або відносної більшості голосів, завдяки чому забезпечується пропорційне представництво в органах акціонерного товариства,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36</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Вищим органом управління акціонерного товариства 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37</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Акціонерне товариство зобов'язане щороку скликати загальні збори, які повинні проводитись не пізніше:</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38</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Загальні збори акціонерів можуть вирішувати: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39</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Загальні збори акціонерів проводяться за рахунок коштів:</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40</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У загальних зборах акціонерного товариства можуть брати участь особи: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41</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Письмове повідомлення про проведення загальних зборів та їх порядок денний надсилається акціонерам персонально у спосіб, передбачений статутом акціонерного товариства, у строк не пізніше ніж:</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42</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Порядок денний загальних зборів акціонерного товариства попередньо затверджується: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43</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Порядок денний загальних зборів акціонерного товариства у разі скликання позачергових загальних зборів на вимогу акціонерів попередньо затверджується: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44</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Рішення про включення пропозицій до порядку денного приймається не пізніше ніж за: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45</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Обов’язковому включенню до порядку денного загальних зборів підлягають пропозиції акціонерів, які сукупно є власниками: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46</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Надання довіреності на право участі та голосування на загальних зборах:</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47</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Наглядова рада приймає рішення про скликання позачергових загальних зборів акціонерного товариства або про відмову в такому скликанні протягом:</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48</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Позачергові загальні збори акціонерного товариства мають бути проведені протягом:</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49</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За відсутності кворуму позачергових загальних зборів повторні загальні збори: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50</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Якщо протягом визначеного термінум наглядова рада не прийняла рішення про скликання позачергових загальних зборів акціонерного товариства, такі збори можуть бути скликані:</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51</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Порядок проведення загальних зборів акціонерного товариства встановлюється: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52</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Головує на загальних зборах:</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53</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Акціонер, який не зареєструвався: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54</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Загальні збори акціонерного товариства мають кворум за умови реєстрації для участі у них акціонерів, які сукупно є власниками не менш як:</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55</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Загальні збори: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56</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У ході загальних зборів:</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57</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Кількість перерв у ході проведення загальних зборів не може перевищувати: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58</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У товаристві, що здійснило публічне розміщення акцій та у товаристві з кількістю акціонерів - власників простих акцій понад 100 осіб голосування з питань порядку денного загальних зборів проводиться: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59</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Форма і текст бюлетеня затверджуються: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60</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rPr>
              <w:t>Форма і текст бюлетеня затверджуються наглядовою радою не пізніше ніж за: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61</w:t>
            </w:r>
          </w:p>
        </w:tc>
        <w:tc>
          <w:tcPr>
            <w:tcW w:w="4684" w:type="pct"/>
          </w:tcPr>
          <w:p w:rsidR="00C17033" w:rsidRPr="00377B5A" w:rsidRDefault="00C17033" w:rsidP="00377B5A">
            <w:pPr>
              <w:spacing w:after="0" w:line="240" w:lineRule="auto"/>
              <w:rPr>
                <w:rFonts w:ascii="Times New Roman" w:hAnsi="Times New Roman"/>
                <w:color w:val="000000"/>
                <w:sz w:val="28"/>
                <w:szCs w:val="28"/>
              </w:rPr>
            </w:pPr>
            <w:r w:rsidRPr="00377B5A">
              <w:rPr>
                <w:rFonts w:ascii="Times New Roman" w:hAnsi="Times New Roman"/>
                <w:sz w:val="28"/>
                <w:szCs w:val="28"/>
              </w:rPr>
              <w:t>В акціонерному товаристві з кількістю акціонерів - власників простих акцій понад 100 осіб кількісний склад лічильної комісії:</w:t>
            </w:r>
          </w:p>
          <w:p w:rsidR="00C17033" w:rsidRPr="00377B5A" w:rsidRDefault="00C17033" w:rsidP="00377B5A">
            <w:pPr>
              <w:widowControl w:val="0"/>
              <w:spacing w:after="0" w:line="240" w:lineRule="auto"/>
              <w:rPr>
                <w:rFonts w:ascii="Times New Roman" w:hAnsi="Times New Roman"/>
                <w:color w:val="000000"/>
                <w:sz w:val="28"/>
                <w:szCs w:val="28"/>
                <w:lang w:val="uk-UA"/>
              </w:rPr>
            </w:pP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62</w:t>
            </w:r>
          </w:p>
        </w:tc>
        <w:tc>
          <w:tcPr>
            <w:tcW w:w="4684" w:type="pct"/>
          </w:tcPr>
          <w:p w:rsidR="00C17033" w:rsidRPr="00377B5A" w:rsidRDefault="00C17033" w:rsidP="00377B5A">
            <w:pPr>
              <w:spacing w:after="0" w:line="240" w:lineRule="auto"/>
              <w:rPr>
                <w:rFonts w:ascii="Times New Roman" w:hAnsi="Times New Roman"/>
                <w:color w:val="000000"/>
                <w:sz w:val="28"/>
                <w:szCs w:val="28"/>
              </w:rPr>
            </w:pPr>
            <w:r w:rsidRPr="00377B5A">
              <w:rPr>
                <w:rFonts w:ascii="Times New Roman" w:hAnsi="Times New Roman"/>
                <w:sz w:val="28"/>
                <w:szCs w:val="28"/>
              </w:rPr>
              <w:t>У випадках, передбачених статутом акціонерного товариства з кількістю акціонерів не більше 25 осіб, допускається прийняття рішення методом:</w:t>
            </w:r>
          </w:p>
          <w:p w:rsidR="00C17033" w:rsidRPr="00377B5A" w:rsidRDefault="00C17033" w:rsidP="00377B5A">
            <w:pPr>
              <w:widowControl w:val="0"/>
              <w:spacing w:after="0" w:line="240" w:lineRule="auto"/>
              <w:rPr>
                <w:rFonts w:ascii="Times New Roman" w:hAnsi="Times New Roman"/>
                <w:color w:val="000000"/>
                <w:sz w:val="28"/>
                <w:szCs w:val="28"/>
                <w:lang w:val="uk-UA"/>
              </w:rPr>
            </w:pP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63</w:t>
            </w:r>
          </w:p>
        </w:tc>
        <w:tc>
          <w:tcPr>
            <w:tcW w:w="4684" w:type="pct"/>
          </w:tcPr>
          <w:p w:rsidR="00C17033" w:rsidRPr="00377B5A" w:rsidRDefault="00C17033" w:rsidP="00377B5A">
            <w:pPr>
              <w:spacing w:after="0" w:line="240" w:lineRule="auto"/>
              <w:rPr>
                <w:rFonts w:ascii="Times New Roman" w:hAnsi="Times New Roman"/>
                <w:color w:val="000000"/>
                <w:sz w:val="28"/>
                <w:szCs w:val="28"/>
              </w:rPr>
            </w:pPr>
            <w:r w:rsidRPr="00377B5A">
              <w:rPr>
                <w:rFonts w:ascii="Times New Roman" w:hAnsi="Times New Roman"/>
                <w:sz w:val="28"/>
                <w:szCs w:val="28"/>
              </w:rPr>
              <w:t>Наглядова рада акціонерного товариства є органом, що:</w:t>
            </w:r>
          </w:p>
          <w:p w:rsidR="00C17033" w:rsidRPr="00377B5A" w:rsidRDefault="00C17033" w:rsidP="00377B5A">
            <w:pPr>
              <w:widowControl w:val="0"/>
              <w:spacing w:after="0" w:line="240" w:lineRule="auto"/>
              <w:rPr>
                <w:rFonts w:ascii="Times New Roman" w:hAnsi="Times New Roman"/>
                <w:color w:val="000000"/>
                <w:sz w:val="28"/>
                <w:szCs w:val="28"/>
                <w:lang w:val="uk-UA"/>
              </w:rPr>
            </w:pP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64</w:t>
            </w:r>
          </w:p>
        </w:tc>
        <w:tc>
          <w:tcPr>
            <w:tcW w:w="4684" w:type="pct"/>
          </w:tcPr>
          <w:p w:rsidR="00C17033" w:rsidRPr="00377B5A" w:rsidRDefault="00C17033" w:rsidP="00377B5A">
            <w:pPr>
              <w:widowControl w:val="0"/>
              <w:spacing w:after="0" w:line="240" w:lineRule="auto"/>
              <w:rPr>
                <w:rFonts w:ascii="Times New Roman" w:hAnsi="Times New Roman"/>
                <w:color w:val="000000"/>
                <w:sz w:val="28"/>
                <w:szCs w:val="28"/>
                <w:lang w:val="uk-UA"/>
              </w:rPr>
            </w:pPr>
            <w:r w:rsidRPr="00377B5A">
              <w:rPr>
                <w:rFonts w:ascii="Times New Roman" w:hAnsi="Times New Roman"/>
                <w:sz w:val="28"/>
                <w:szCs w:val="28"/>
              </w:rPr>
              <w:t>Створення наглядової ради є обов’язковим в акціонерних товариствах з кількістю акціонерів - власників простих акцій:</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65</w:t>
            </w:r>
          </w:p>
        </w:tc>
        <w:tc>
          <w:tcPr>
            <w:tcW w:w="4684" w:type="pct"/>
          </w:tcPr>
          <w:p w:rsidR="00C17033" w:rsidRPr="00377B5A" w:rsidRDefault="00C17033" w:rsidP="00377B5A">
            <w:pPr>
              <w:spacing w:after="0" w:line="240" w:lineRule="auto"/>
              <w:rPr>
                <w:rFonts w:ascii="Times New Roman" w:hAnsi="Times New Roman"/>
                <w:color w:val="000000"/>
                <w:sz w:val="28"/>
                <w:szCs w:val="28"/>
              </w:rPr>
            </w:pPr>
            <w:r w:rsidRPr="00377B5A">
              <w:rPr>
                <w:rFonts w:ascii="Times New Roman" w:hAnsi="Times New Roman"/>
                <w:sz w:val="28"/>
                <w:szCs w:val="28"/>
              </w:rPr>
              <w:t>У товаристві з кількістю акціонерів - власників простих акцій 9 осіб і менше у разі відсутності наглядової ради її повноваження здійснюються:</w:t>
            </w:r>
          </w:p>
          <w:p w:rsidR="00C17033" w:rsidRPr="00377B5A" w:rsidRDefault="00C17033" w:rsidP="00377B5A">
            <w:pPr>
              <w:widowControl w:val="0"/>
              <w:spacing w:after="0" w:line="240" w:lineRule="auto"/>
              <w:rPr>
                <w:rFonts w:ascii="Times New Roman" w:hAnsi="Times New Roman"/>
                <w:color w:val="000000"/>
                <w:sz w:val="28"/>
                <w:szCs w:val="28"/>
                <w:lang w:val="uk-UA"/>
              </w:rPr>
            </w:pP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66</w:t>
            </w:r>
          </w:p>
        </w:tc>
        <w:tc>
          <w:tcPr>
            <w:tcW w:w="4684" w:type="pct"/>
          </w:tcPr>
          <w:p w:rsidR="00C17033" w:rsidRPr="00377B5A" w:rsidRDefault="00C17033" w:rsidP="00377B5A">
            <w:pPr>
              <w:spacing w:after="0" w:line="240" w:lineRule="auto"/>
              <w:rPr>
                <w:rFonts w:ascii="Times New Roman" w:hAnsi="Times New Roman"/>
                <w:color w:val="000000"/>
                <w:sz w:val="28"/>
                <w:szCs w:val="28"/>
              </w:rPr>
            </w:pPr>
            <w:r w:rsidRPr="00377B5A">
              <w:rPr>
                <w:rFonts w:ascii="Times New Roman" w:hAnsi="Times New Roman"/>
                <w:sz w:val="28"/>
                <w:szCs w:val="28"/>
              </w:rPr>
              <w:t>Члени наглядової ради акціонерного товариства обираються:</w:t>
            </w:r>
          </w:p>
          <w:p w:rsidR="00C17033" w:rsidRPr="00377B5A" w:rsidRDefault="00C17033" w:rsidP="00377B5A">
            <w:pPr>
              <w:widowControl w:val="0"/>
              <w:spacing w:after="0" w:line="240" w:lineRule="auto"/>
              <w:rPr>
                <w:rFonts w:ascii="Times New Roman" w:hAnsi="Times New Roman"/>
                <w:color w:val="000000"/>
                <w:sz w:val="28"/>
                <w:szCs w:val="28"/>
                <w:lang w:val="uk-UA"/>
              </w:rPr>
            </w:pP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67</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Цінні папери, які надають їхньому держателю право розпоряджатися майном, вказаним у цих документах, називаються: </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Облігації, за якими передбачається виплата відсоткових доходів,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69</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Облігації, виконання зобов’язань за якими дозволяється товарами та/або послугами відповідно до вимог, встановлених умовами розміщення таких облігацій,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70</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Облігації, що розміщуються за ціною, нижчою ніж їх номінальна вартість,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Мінімальна номінальна вартість облігації не може бути меншою ніж:</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Обіг облігацій дозволяється після реєстрації звіту про результати розміщення облігацій та видачі свідоцтва про реєстрацію випуску облігацій:</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73</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Державні облігації України поділяються на: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Державні цінні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відповідно до умов розміщення облігацій,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75</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Облігації внутрішніх державних позик, емісія яких є джерелом фінансування дефіциту державного бюджету в обсягах, передбачених на цю мету законом про Державний бюджет України на відповідний рік, та в межах граничного розміру державного боргу,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76</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Державні боргові цінні папери, що розміщуються на міжнародних фондових ринках і підтверджують зобов’язання України відшкодувати пред’явникам цих облігацій їх номінальну вартість з виплатою доходу відповідно до умов випуску облігацій,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77</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Розміщення, обслуговування та погашення облігацій зовнішніх державних позик України здійснює: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Емісія казначейських зобов’язань України є частиною бюджетного процесу і:</w:t>
            </w:r>
          </w:p>
        </w:tc>
      </w:tr>
      <w:tr w:rsidR="00C17033" w:rsidRPr="003843C1"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79</w:t>
            </w:r>
          </w:p>
        </w:tc>
        <w:tc>
          <w:tcPr>
            <w:tcW w:w="4684" w:type="pct"/>
          </w:tcPr>
          <w:p w:rsidR="00C17033" w:rsidRPr="00377B5A" w:rsidRDefault="00C17033" w:rsidP="00377B5A">
            <w:pPr>
              <w:pStyle w:val="a3"/>
              <w:ind w:left="0"/>
              <w:jc w:val="left"/>
              <w:rPr>
                <w:sz w:val="28"/>
                <w:szCs w:val="28"/>
                <w:lang w:val="ru-RU"/>
              </w:rPr>
            </w:pPr>
            <w:r w:rsidRPr="00377B5A">
              <w:rPr>
                <w:sz w:val="28"/>
                <w:szCs w:val="28"/>
              </w:rPr>
              <w:t>Векселі можуть бути: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80</w:t>
            </w:r>
          </w:p>
        </w:tc>
        <w:tc>
          <w:tcPr>
            <w:tcW w:w="4684" w:type="pct"/>
          </w:tcPr>
          <w:p w:rsidR="00C17033" w:rsidRPr="00377B5A" w:rsidRDefault="00C17033" w:rsidP="00377B5A">
            <w:pPr>
              <w:pStyle w:val="a3"/>
              <w:ind w:left="0"/>
              <w:jc w:val="left"/>
              <w:rPr>
                <w:sz w:val="28"/>
                <w:szCs w:val="28"/>
                <w:lang w:val="ru-RU"/>
              </w:rPr>
            </w:pPr>
            <w:r w:rsidRPr="00377B5A">
              <w:rPr>
                <w:sz w:val="28"/>
                <w:szCs w:val="28"/>
              </w:rPr>
              <w:t>Векселі існують виключно у:</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у відповідному фонді,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 Інвестиційні сертифікати можуть надавати його власнику право на: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83</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Цінний папір, що засвідчує право його власника на отримання доходу від інвестування в операції з нерухомістю,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Стандартний документ, що є контрактом за яким одна сторона зобов’язує іншу продати чи купити певну кількість цінних паперів за певною ціною в майбутньому,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Інструмент хеджування, який має на меті не продаж (придбання) реального активу, а зменшення ризику чи спекулятивну гру на коливанні цін,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Цінний папір, згідно з яким один з учасників отримує право продажу чи купівлі певної кількості цінних паперів за обумовленою ціною в певний проміжок часу, а інший учасник за грошову премію приймає зобов’язання купити чи продати обумовлений цінний папір,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87</w:t>
            </w:r>
          </w:p>
        </w:tc>
        <w:tc>
          <w:tcPr>
            <w:tcW w:w="4684" w:type="pct"/>
          </w:tcPr>
          <w:p w:rsidR="00C17033" w:rsidRPr="00377B5A" w:rsidRDefault="00C17033" w:rsidP="00377B5A">
            <w:pPr>
              <w:pStyle w:val="a3"/>
              <w:ind w:left="0"/>
              <w:jc w:val="left"/>
              <w:rPr>
                <w:sz w:val="28"/>
                <w:szCs w:val="28"/>
                <w:lang w:val="ru-RU"/>
              </w:rPr>
            </w:pPr>
            <w:r w:rsidRPr="00377B5A">
              <w:rPr>
                <w:sz w:val="28"/>
                <w:szCs w:val="28"/>
              </w:rPr>
              <w:t>Існують опціони двох типів:</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Різновид опціону на купівлю, який випускається емітентом разом з привілейованими акціями чи облігаціями і надає право на придбання простих акцій емітента за певною ціною,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89</w:t>
            </w:r>
          </w:p>
        </w:tc>
        <w:tc>
          <w:tcPr>
            <w:tcW w:w="4684" w:type="pct"/>
          </w:tcPr>
          <w:p w:rsidR="00C17033" w:rsidRPr="00377B5A" w:rsidRDefault="00C17033" w:rsidP="00377B5A">
            <w:pPr>
              <w:pStyle w:val="a3"/>
              <w:ind w:left="0"/>
              <w:jc w:val="left"/>
              <w:rPr>
                <w:sz w:val="28"/>
                <w:szCs w:val="28"/>
                <w:lang w:val="ru-RU"/>
              </w:rPr>
            </w:pPr>
            <w:r w:rsidRPr="00377B5A">
              <w:rPr>
                <w:sz w:val="28"/>
                <w:szCs w:val="28"/>
              </w:rPr>
              <w:t>Термін дії варанта становить:</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90</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Відчуження цінних паперів на підставі опублікування в засобах масової інформації або оголошення будь-яким іншим способом повідомлення про продаж цінних паперів, зверненого до заздалегідь не визначеної кількості осіб,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Розміщення (підписка, продаж) цінних паперів торговцем цінними паперами за дорученням, від імені та за рахунок емітента,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Документ, який містить інформацію про відкрите (публічне) розміщення цінних паперів,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93</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Розміщення цінних паперів шляхом їх безпосередньої пропозиції заздалегідь визначеному колу осіб, кількість яких не перевищує 100,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Перше розміщення акцій публічного акціонерного товариства 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Перелік документів, необхідних для реєстрації випуску та проспекту емісії цінних паперів, а також порядок їх реєстрації встановлюються: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 xml:space="preserve">Відповідальність за достовірність відомостей, наведених у документах, що подаються для реєстрації випуску та проспекту емісії цінних паперів, </w:t>
            </w:r>
            <w:r w:rsidRPr="00377B5A">
              <w:rPr>
                <w:sz w:val="28"/>
                <w:szCs w:val="28"/>
                <w:lang w:val="ru-RU"/>
              </w:rPr>
              <w:lastRenderedPageBreak/>
              <w:t>несуть:</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97</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Українські емітенти можуть розміщувати цінні папери за межами України, крім облігацій зовнішніх державних позик України, виключно на підставі дозволу:</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98</w:t>
            </w:r>
          </w:p>
        </w:tc>
        <w:tc>
          <w:tcPr>
            <w:tcW w:w="4684" w:type="pct"/>
          </w:tcPr>
          <w:p w:rsidR="00C17033" w:rsidRPr="00377B5A" w:rsidRDefault="00C17033" w:rsidP="00377B5A">
            <w:pPr>
              <w:pStyle w:val="a3"/>
              <w:ind w:left="0"/>
              <w:jc w:val="left"/>
              <w:rPr>
                <w:sz w:val="28"/>
                <w:szCs w:val="28"/>
                <w:lang w:val="ru-RU"/>
              </w:rPr>
            </w:pPr>
            <w:r w:rsidRPr="00377B5A">
              <w:rPr>
                <w:sz w:val="28"/>
                <w:szCs w:val="28"/>
              </w:rPr>
              <w:t>Фондовий ринок поділяється на:</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99</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Фізичні та юридичні особи, резиденти і нерезиденти,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100</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Інвестиційні фонди, взаємні фонди інвестиційних компаній, недержавні пенсійні фонди, страхові компанії, інші фінансові установи, які здійснюють операції з фінансовими активами в інтересах третіх осіб за власний рахунок чи за рахунок цих осіб, а у випадках, передбачених законодавством, також за рахунок залучених від інших осіб фінансових активів з метою отримання прибутку або збереження реальної вартості фінансових активів,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Юридичні особи, які на підставі ліцензії, виданої Державною комісією з цінних паперів та фондового ринку, провадять на фондовому ринку професійну діяльність, види якої визначені законами України,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Неприбуткове об’єднання учасників фондового ринку, що провадять професійну діяльність на фондовому ринку з торгівлі цінними паперами, управління активами інституційних інвесторів, депозитарну діяльність, відповідно до критеріїв та вимог, установлених Державною комісією з цінних паперів та фондового ринку,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103</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Діяльність юридичних осіб з надання фінансових та інших послуг у сфері розміщення та обігу цінних паперів, обліку прав за цінними паперами, управління активами інституційних інвесторів, що відповідає встановленим вимогам,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uk-UA"/>
              </w:rPr>
              <w:t>Торговець цінними паперами може провадити дилерську діяльність, якщо має сплачений грошима статутний капітал у розмірі не менш як:</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uk-UA"/>
              </w:rPr>
              <w:t>Торговець цінними паперами може провадити брокерську діяльність, якщо має сплачений грошима статутний капітал у розмірі не менш як:</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uk-UA"/>
              </w:rPr>
              <w:t>Торговець цінними паперами може провадити андеррайтинг або діяльність з управління цінними паперами, якщо має сплачений грошима статутний капітал у розмірі не менш як:</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107</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Укладення торговцем цінними паперами цивільно-правових договорів (зокрема договорів комісії, доручення) щодо цінних паперів від свого імені (від імені іншої особи), за дорученням і за рахунок іншої особи,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108</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Укладення торговцем цінними паперами цивільно-правових договорів щодо цінних паперів від свого імені та за свій рахунок з метою перепродажу, крім випадків, передбачених законом,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109</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uk-UA"/>
              </w:rPr>
              <w:t xml:space="preserve">Розміщення (підписка, продаж) цінних паперів торговцем цінними </w:t>
            </w:r>
            <w:r w:rsidRPr="00377B5A">
              <w:rPr>
                <w:sz w:val="28"/>
                <w:szCs w:val="28"/>
                <w:lang w:val="uk-UA"/>
              </w:rPr>
              <w:lastRenderedPageBreak/>
              <w:t>паперами за дорученням, від імені та за рахунок емітента,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110</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Діяльність, яка провадиться торговцем цінними паперами від свого імені за винагороду протягом визначеного строку на підставі договору про управління переданими йому цінними паперами та грошовими коштами, призначеними для інвестування в цінні папери, а також отриманими в процесі цього управління цінними паперами та грошовими коштами, які належать на праві власності установнику управління, в його інтересах або в інтересах визначених ним третіх осіб,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111</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Договір торговця про управління цінними паперами з одним клієнтом фізичною особою має становити не менше суми, еквівалентної:</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112</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Професійна діяльність учасника фондового ринку компанії з управління активами, що провадиться нею за винагороду від свого імені або на підставі відповідного договору про управління активами інституційних інвесторів,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113</w:t>
            </w:r>
          </w:p>
        </w:tc>
        <w:tc>
          <w:tcPr>
            <w:tcW w:w="4684" w:type="pct"/>
          </w:tcPr>
          <w:p w:rsidR="00C17033" w:rsidRPr="00377B5A" w:rsidRDefault="00C17033" w:rsidP="00377B5A">
            <w:pPr>
              <w:pStyle w:val="a3"/>
              <w:ind w:left="0"/>
              <w:jc w:val="left"/>
              <w:rPr>
                <w:sz w:val="28"/>
                <w:szCs w:val="28"/>
                <w:lang w:val="uk-UA"/>
              </w:rPr>
            </w:pPr>
            <w:r w:rsidRPr="00377B5A">
              <w:rPr>
                <w:sz w:val="28"/>
                <w:szCs w:val="28"/>
                <w:lang w:val="uk-UA"/>
              </w:rPr>
              <w:t xml:space="preserve"> Надання послуг щодо зберігання цінних паперів незалежно від форми їх випуску, відкриття та ведення рахунків у цінних паперах, обслуговування операцій на цих рахунках та обслуговування операцій емітента щодо випущених ним цінних паперів,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114</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Отримання, звірка та поточне оновлення інформації, підготовка бухгалтерських та облікових документів, необхідних для виконання угод щодо цінних паперів, визначення взаємних зобов’язань, що передбачає взаємозалік, забезпечення та гарантування розрахунків за угодами щодо цінних паперів,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115</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Саморегулюючі організації професійних учасників фондового ринку утворюються за принципом:</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116</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Неприбуткова організація, яка займається виключно організацією укладання угод купівлі та продажу цінних паперів і їх похідних,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117</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Фондова біржа утворюється не менше ніж:</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118</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ru-RU"/>
              </w:rPr>
              <w:t>Частка одного торговця цінними паперами у статутному капіталі фондової біржі не може бути більшою ніж:</w:t>
            </w:r>
          </w:p>
        </w:tc>
      </w:tr>
      <w:tr w:rsidR="00C17033" w:rsidRPr="003843C1"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119</w:t>
            </w:r>
          </w:p>
        </w:tc>
        <w:tc>
          <w:tcPr>
            <w:tcW w:w="4684" w:type="pct"/>
          </w:tcPr>
          <w:p w:rsidR="00C17033" w:rsidRPr="00377B5A" w:rsidRDefault="00C17033" w:rsidP="00377B5A">
            <w:pPr>
              <w:pStyle w:val="a3"/>
              <w:ind w:left="0"/>
              <w:jc w:val="left"/>
              <w:rPr>
                <w:sz w:val="28"/>
                <w:szCs w:val="28"/>
                <w:lang w:val="ru-RU"/>
              </w:rPr>
            </w:pPr>
            <w:r w:rsidRPr="00377B5A">
              <w:rPr>
                <w:sz w:val="28"/>
                <w:szCs w:val="28"/>
                <w:lang w:val="uk-UA"/>
              </w:rPr>
              <w:t>Прибуток фондової біржі:</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120</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rPr>
              <w:t>Член фондової біржі, учасник біржових торгів, який укладає біржові договори за власний рахунок, або за дорученням клієнта,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121</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rPr>
              <w:t>Ініціатором лістингу на біржі цінних паперів може бути лише:</w:t>
            </w:r>
          </w:p>
        </w:tc>
      </w:tr>
      <w:tr w:rsidR="00C17033" w:rsidRPr="003843C1"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122</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rPr>
              <w:t>Рішення про виключення цінних паперів з біржового реєстру приймається: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123</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rPr>
              <w:t>Технологія укладання угод в системі електронних торгів (СЕЛТ), яка передбачає безперервне співставлення зустрічних заявок учасників СЕЛТ по мірі їх надходження у відповідності з встановленою черговістю виконання заявок,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124</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rPr>
              <w:t xml:space="preserve">Технологія укладання угод в системі електронних торгів (СЕЛТ), яка передбачає надання учасниками аукціону конкурентних пропозицій на купівлю на замовлення ініціатора аукціону в порядку, який визначається </w:t>
            </w:r>
            <w:r w:rsidRPr="00377B5A">
              <w:rPr>
                <w:rFonts w:ascii="Times New Roman" w:hAnsi="Times New Roman"/>
                <w:sz w:val="28"/>
                <w:szCs w:val="28"/>
              </w:rPr>
              <w:lastRenderedPageBreak/>
              <w:t>Порядком проведення аукціону в СЕЛТ фондової біржі,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125</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Механізм визначення та/або фіксації ринкової ціни цінного паперу або іншого фінансового інструменту,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126</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Якщо в ході торговельної сесії за цінним папером не було укладено жодної угоди, курсова ціна цього цінного паперу:</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127</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rPr>
              <w:t>Національна депозитарна система складається: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128</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Обслуговування обігу державних цінних паперів, у тому числі депозитарну діяльність щодо цих паперів, здійснює: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129</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З метою забезпечення функціонування єдиної системи депозитарного обліку створюється: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130</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Обслуговування угод щодо цінних паперів у бездокументарній формі проводиться тільки учасниками: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131</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Переведення цінних паперів, випущених у документарній формі, у бездокументарну форму шляхом депонування сертифікатів у сховищах зберігача цінних паперів та/або депозитарію з метою забезпечення подальшого їх обігу у вигляді облікових записів на рахунках зберігача цінних паперів та/або депозитарію,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132</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Організація, що об’єднує торговців цінними паперами для надання послуг в укладанні угод щодо цінних паперів і при цьому не має на меті отримання прибутку,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133</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Порядок і умови здійснення депозитарної діяльності учасниками Національної депозитарної системи встановлюються: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134</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В депозитарній системі України виділяють таких суб’єктів корпоративного управління: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135</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Депозитарії, зберігачі, реєстратори власників іменних цінних паперів,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136</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Організатори торгівлі цінними паперами, банки, торговці цінними паперами та емітенти,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137</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Частка одного учасника в статутному капіталі депозитарію не може перевищувати: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138</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Банк, торговець цінними паперами або реєстратор, який має ліцензію на зберігання та обслуговування обігу цінних паперів і операцій емітента з цінними паперами на рахунках у цінних паперах як щодо тих цінних паперів, що належать йому, так і тих, які він зберігає згідно з договором про відкриття рахунку в цінних паперах,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139</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У статутному капіталі зберігача частка іншого зберігача, торговця цінними паперами, інвестиційної компанії та інших професійних учасників фондового ринку не може перевищувати: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140</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Юридична або фізична особа, яка користується послугами зберігача на підставі договору про відкриття рахунку в цінних паперах,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141</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Іменні цінні папери, випущені в документарній формі, передаються новому власникові:</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142</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 xml:space="preserve">Законодавчі органи, які видають нормативні акти, що мають чинність закону і регламентують загальні основи функціонування корпоративного </w:t>
            </w:r>
            <w:r w:rsidRPr="00377B5A">
              <w:rPr>
                <w:rFonts w:ascii="Times New Roman" w:hAnsi="Times New Roman"/>
                <w:sz w:val="28"/>
                <w:szCs w:val="28"/>
                <w:lang w:val="uk-UA"/>
              </w:rPr>
              <w:lastRenderedPageBreak/>
              <w:t>сектора,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lastRenderedPageBreak/>
              <w:t>143</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Органи, що призначені для забезпечення регулювання та контролю діяльності корпоративних підприємств з урахуванням специфіки відповідного сектору, називаються: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144</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Діяльність, що здійснюється за винагороду банком чи іншою фінансовою установою згідно з відповідним договором про управління іпотечним покриттям,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145</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Діяльність з надання послуг щодо зберігання цінних паперів, обслуговування правочинів щодо цінних паперів на рахунках власників цінних паперів,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146</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Діяльність з визначення взаємних зобов’язань за договорами щодо цінних паперів і розрахунків за ними,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147</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Ліцензування професійної діяльності на ринку цінних паперів здійснює: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148</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Державне регулювання ринку цінних паперів здійснює:</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149</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Положення про Державну комісію з цінних паперів та фондового ринку затверджується: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150</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Термін повноважень Голови Державної комісія з цінних паперів та фондового ринку і її членів становить:</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151</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 xml:space="preserve"> Засідання Державної комісія з цінних паперів та фондового ринку проводяться не рідше:</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152</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Штрафи, накладені Державною комісією з цінних паперів та фондового ринку, стягуються: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153</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Про накладення штрафів на комерційні банки Державна комісія з цінних паперів та фондового ринку інформує Національний банк України:</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154</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Юридична особа, створена державою як єдиним засновником,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155</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Акціонерне товариство публічного типу, у якому державі належить пакет акцій, що відповідно до законодавства забезпечує правочинність рішень загальних зборів акціонерів,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156</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Річний звіт повинен розкриватися товариством не пізніше:</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157</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Річна та квартальна звітна інформація про результати фінансово-господарської діяльності емітента, яка подається Державній комісії з цінних паперів та фондового ринку,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158</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Строки, порядок та форми подання регулярної інформації про емітента (річної та квартальної) встановлюються: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159</w:t>
            </w:r>
          </w:p>
        </w:tc>
        <w:tc>
          <w:tcPr>
            <w:tcW w:w="4684" w:type="pct"/>
          </w:tcPr>
          <w:p w:rsidR="00C17033" w:rsidRPr="00377B5A" w:rsidRDefault="00C17033" w:rsidP="00377B5A">
            <w:pPr>
              <w:spacing w:after="0" w:line="240" w:lineRule="auto"/>
              <w:rPr>
                <w:rFonts w:ascii="Times New Roman" w:hAnsi="Times New Roman"/>
                <w:sz w:val="28"/>
                <w:szCs w:val="28"/>
              </w:rPr>
            </w:pPr>
            <w:r w:rsidRPr="00377B5A">
              <w:rPr>
                <w:rFonts w:ascii="Times New Roman" w:hAnsi="Times New Roman"/>
                <w:sz w:val="28"/>
                <w:szCs w:val="28"/>
                <w:lang w:val="uk-UA"/>
              </w:rPr>
              <w:t>Інформація про будь-які дії, що можуть вплинути на фінансово-господарський стан емітента та призвести до значної зміни вартості його цінних паперів, називається:</w:t>
            </w:r>
          </w:p>
        </w:tc>
      </w:tr>
      <w:tr w:rsidR="00C17033" w:rsidRPr="00377B5A" w:rsidTr="00C17033">
        <w:tc>
          <w:tcPr>
            <w:tcW w:w="316" w:type="pct"/>
          </w:tcPr>
          <w:p w:rsidR="00C17033" w:rsidRPr="00377B5A" w:rsidRDefault="00C17033" w:rsidP="00377B5A">
            <w:pPr>
              <w:spacing w:after="0" w:line="240" w:lineRule="auto"/>
              <w:jc w:val="center"/>
              <w:rPr>
                <w:rFonts w:ascii="Times New Roman" w:hAnsi="Times New Roman"/>
                <w:sz w:val="28"/>
                <w:szCs w:val="28"/>
              </w:rPr>
            </w:pPr>
            <w:r w:rsidRPr="00377B5A">
              <w:rPr>
                <w:rFonts w:ascii="Times New Roman" w:hAnsi="Times New Roman"/>
                <w:sz w:val="28"/>
                <w:szCs w:val="28"/>
              </w:rPr>
              <w:t>160</w:t>
            </w:r>
          </w:p>
        </w:tc>
        <w:tc>
          <w:tcPr>
            <w:tcW w:w="4684" w:type="pct"/>
          </w:tcPr>
          <w:p w:rsidR="00C17033" w:rsidRPr="00377B5A" w:rsidRDefault="00C17033" w:rsidP="00377B5A">
            <w:pPr>
              <w:spacing w:after="0" w:line="240" w:lineRule="auto"/>
              <w:rPr>
                <w:rFonts w:ascii="Times New Roman" w:hAnsi="Times New Roman"/>
                <w:sz w:val="28"/>
                <w:szCs w:val="28"/>
                <w:lang w:val="uk-UA"/>
              </w:rPr>
            </w:pPr>
            <w:r w:rsidRPr="00377B5A">
              <w:rPr>
                <w:rFonts w:ascii="Times New Roman" w:hAnsi="Times New Roman"/>
                <w:sz w:val="28"/>
                <w:szCs w:val="28"/>
                <w:lang w:val="uk-UA"/>
              </w:rPr>
              <w:t>До особливої інформації не належать відомості про:</w:t>
            </w:r>
          </w:p>
        </w:tc>
      </w:tr>
    </w:tbl>
    <w:p w:rsidR="007F650E" w:rsidRPr="000D658A" w:rsidRDefault="007F650E" w:rsidP="00A754C0">
      <w:pPr>
        <w:pStyle w:val="a3"/>
        <w:ind w:left="0"/>
        <w:jc w:val="left"/>
        <w:rPr>
          <w:sz w:val="24"/>
          <w:szCs w:val="24"/>
          <w:lang w:val="ru-RU"/>
        </w:rPr>
      </w:pPr>
    </w:p>
    <w:p w:rsidR="007F650E" w:rsidRPr="00A754C0" w:rsidRDefault="007F650E" w:rsidP="00A754C0"/>
    <w:sectPr w:rsidR="007F650E" w:rsidRPr="00A754C0" w:rsidSect="00A754C0">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B2482"/>
    <w:multiLevelType w:val="hybridMultilevel"/>
    <w:tmpl w:val="764819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6D52AA9"/>
    <w:multiLevelType w:val="hybridMultilevel"/>
    <w:tmpl w:val="A3E03324"/>
    <w:lvl w:ilvl="0" w:tplc="481852EA">
      <w:start w:val="1"/>
      <w:numFmt w:val="decimal"/>
      <w:lvlText w:val="%1."/>
      <w:lvlJc w:val="left"/>
      <w:pPr>
        <w:ind w:left="344" w:hanging="286"/>
      </w:pPr>
      <w:rPr>
        <w:rFonts w:ascii="Times New Roman" w:eastAsia="Times New Roman" w:hAnsi="Times New Roman" w:cs="Times New Roman" w:hint="default"/>
        <w:spacing w:val="-1"/>
        <w:w w:val="100"/>
        <w:sz w:val="22"/>
        <w:szCs w:val="22"/>
      </w:rPr>
    </w:lvl>
    <w:lvl w:ilvl="1" w:tplc="4D6692EA">
      <w:numFmt w:val="bullet"/>
      <w:lvlText w:val="•"/>
      <w:lvlJc w:val="left"/>
      <w:pPr>
        <w:ind w:left="1022" w:hanging="286"/>
      </w:pPr>
      <w:rPr>
        <w:rFonts w:hint="default"/>
      </w:rPr>
    </w:lvl>
    <w:lvl w:ilvl="2" w:tplc="8B0819F0">
      <w:numFmt w:val="bullet"/>
      <w:lvlText w:val="•"/>
      <w:lvlJc w:val="left"/>
      <w:pPr>
        <w:ind w:left="1704" w:hanging="286"/>
      </w:pPr>
      <w:rPr>
        <w:rFonts w:hint="default"/>
      </w:rPr>
    </w:lvl>
    <w:lvl w:ilvl="3" w:tplc="8BF6CB94">
      <w:numFmt w:val="bullet"/>
      <w:lvlText w:val="•"/>
      <w:lvlJc w:val="left"/>
      <w:pPr>
        <w:ind w:left="2386" w:hanging="286"/>
      </w:pPr>
      <w:rPr>
        <w:rFonts w:hint="default"/>
      </w:rPr>
    </w:lvl>
    <w:lvl w:ilvl="4" w:tplc="6B262D66">
      <w:numFmt w:val="bullet"/>
      <w:lvlText w:val="•"/>
      <w:lvlJc w:val="left"/>
      <w:pPr>
        <w:ind w:left="3068" w:hanging="286"/>
      </w:pPr>
      <w:rPr>
        <w:rFonts w:hint="default"/>
      </w:rPr>
    </w:lvl>
    <w:lvl w:ilvl="5" w:tplc="1D164CA8">
      <w:numFmt w:val="bullet"/>
      <w:lvlText w:val="•"/>
      <w:lvlJc w:val="left"/>
      <w:pPr>
        <w:ind w:left="3750" w:hanging="286"/>
      </w:pPr>
      <w:rPr>
        <w:rFonts w:hint="default"/>
      </w:rPr>
    </w:lvl>
    <w:lvl w:ilvl="6" w:tplc="4694EB04">
      <w:numFmt w:val="bullet"/>
      <w:lvlText w:val="•"/>
      <w:lvlJc w:val="left"/>
      <w:pPr>
        <w:ind w:left="4432" w:hanging="286"/>
      </w:pPr>
      <w:rPr>
        <w:rFonts w:hint="default"/>
      </w:rPr>
    </w:lvl>
    <w:lvl w:ilvl="7" w:tplc="BA2A6926">
      <w:numFmt w:val="bullet"/>
      <w:lvlText w:val="•"/>
      <w:lvlJc w:val="left"/>
      <w:pPr>
        <w:ind w:left="5114" w:hanging="286"/>
      </w:pPr>
      <w:rPr>
        <w:rFonts w:hint="default"/>
      </w:rPr>
    </w:lvl>
    <w:lvl w:ilvl="8" w:tplc="51B6423E">
      <w:numFmt w:val="bullet"/>
      <w:lvlText w:val="•"/>
      <w:lvlJc w:val="left"/>
      <w:pPr>
        <w:ind w:left="5796" w:hanging="28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351"/>
    <w:rsid w:val="00052EBB"/>
    <w:rsid w:val="000C211B"/>
    <w:rsid w:val="000D658A"/>
    <w:rsid w:val="00127F6C"/>
    <w:rsid w:val="0014681E"/>
    <w:rsid w:val="0022276C"/>
    <w:rsid w:val="00260B09"/>
    <w:rsid w:val="00357B6D"/>
    <w:rsid w:val="00377B5A"/>
    <w:rsid w:val="003843C1"/>
    <w:rsid w:val="004377C2"/>
    <w:rsid w:val="004A05ED"/>
    <w:rsid w:val="00795B5C"/>
    <w:rsid w:val="007B3298"/>
    <w:rsid w:val="007F650E"/>
    <w:rsid w:val="00824F9F"/>
    <w:rsid w:val="008679E9"/>
    <w:rsid w:val="008F5235"/>
    <w:rsid w:val="0090480B"/>
    <w:rsid w:val="00937839"/>
    <w:rsid w:val="00986CAA"/>
    <w:rsid w:val="00A449E8"/>
    <w:rsid w:val="00A754C0"/>
    <w:rsid w:val="00B533B3"/>
    <w:rsid w:val="00BB06E7"/>
    <w:rsid w:val="00BB5351"/>
    <w:rsid w:val="00BB700A"/>
    <w:rsid w:val="00C17033"/>
    <w:rsid w:val="00D74A30"/>
    <w:rsid w:val="00E01D89"/>
    <w:rsid w:val="00E1539B"/>
    <w:rsid w:val="00E42C7F"/>
    <w:rsid w:val="00EA3DC9"/>
    <w:rsid w:val="00EC23C8"/>
    <w:rsid w:val="00FD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322912-E1F0-4539-9F6B-02CCF06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DC9"/>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3DC9"/>
    <w:pPr>
      <w:widowControl w:val="0"/>
      <w:autoSpaceDE w:val="0"/>
      <w:autoSpaceDN w:val="0"/>
      <w:spacing w:after="0" w:line="240" w:lineRule="auto"/>
      <w:ind w:left="344"/>
      <w:jc w:val="both"/>
    </w:pPr>
    <w:rPr>
      <w:rFonts w:ascii="Times New Roman" w:hAnsi="Times New Roman"/>
      <w:lang w:val="en-US" w:eastAsia="en-US"/>
    </w:rPr>
  </w:style>
  <w:style w:type="character" w:customStyle="1" w:styleId="a4">
    <w:name w:val="Основной текст Знак"/>
    <w:link w:val="a3"/>
    <w:uiPriority w:val="99"/>
    <w:locked/>
    <w:rsid w:val="00EA3DC9"/>
    <w:rPr>
      <w:rFonts w:ascii="Times New Roman" w:hAnsi="Times New Roman" w:cs="Times New Roman"/>
      <w:lang w:val="en-US"/>
    </w:rPr>
  </w:style>
  <w:style w:type="paragraph" w:styleId="a5">
    <w:name w:val="List Paragraph"/>
    <w:basedOn w:val="a"/>
    <w:uiPriority w:val="99"/>
    <w:qFormat/>
    <w:rsid w:val="00EA3DC9"/>
    <w:pPr>
      <w:widowControl w:val="0"/>
      <w:autoSpaceDE w:val="0"/>
      <w:autoSpaceDN w:val="0"/>
      <w:spacing w:after="0" w:line="240" w:lineRule="auto"/>
      <w:ind w:left="344" w:firstLine="284"/>
      <w:jc w:val="both"/>
    </w:pPr>
    <w:rPr>
      <w:rFonts w:ascii="Times New Roman" w:hAnsi="Times New Roman"/>
      <w:lang w:val="en-US" w:eastAsia="en-US"/>
    </w:rPr>
  </w:style>
  <w:style w:type="table" w:styleId="a6">
    <w:name w:val="Table Grid"/>
    <w:basedOn w:val="a1"/>
    <w:uiPriority w:val="99"/>
    <w:rsid w:val="0012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13521</Words>
  <Characters>7707</Characters>
  <Application>Microsoft Office Word</Application>
  <DocSecurity>0</DocSecurity>
  <Lines>64</Lines>
  <Paragraphs>42</Paragraphs>
  <ScaleCrop>false</ScaleCrop>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Мельник Вікторія Вікторівна</cp:lastModifiedBy>
  <cp:revision>17</cp:revision>
  <dcterms:created xsi:type="dcterms:W3CDTF">2018-09-27T07:51:00Z</dcterms:created>
  <dcterms:modified xsi:type="dcterms:W3CDTF">2019-09-23T08:27:00Z</dcterms:modified>
</cp:coreProperties>
</file>