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A8" w:rsidRPr="008D23AB" w:rsidRDefault="00C949A8" w:rsidP="00C949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Перелік питань</w:t>
      </w:r>
    </w:p>
    <w:p w:rsidR="00C949A8" w:rsidRPr="008D23AB" w:rsidRDefault="00C949A8" w:rsidP="00C949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8D23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 навчальної дисципліни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«Консолідована фінансова звітність»</w:t>
      </w:r>
    </w:p>
    <w:p w:rsidR="00C949A8" w:rsidRPr="008D23AB" w:rsidRDefault="00C949A8" w:rsidP="00C949A8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за спеціальністю 071</w:t>
      </w:r>
      <w:r w:rsidRPr="008D23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Облік і оподаткування</w:t>
      </w:r>
      <w:r w:rsidRPr="008D23AB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</w:p>
    <w:p w:rsidR="00C949A8" w:rsidRDefault="00C949A8" w:rsidP="00C94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освітнього рівня «магістр</w:t>
      </w:r>
      <w:r w:rsidRPr="008D23AB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</w:p>
    <w:p w:rsidR="00050426" w:rsidRDefault="00050426" w:rsidP="00BA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6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7"/>
        <w:gridCol w:w="8817"/>
      </w:tblGrid>
      <w:tr w:rsidR="00C949A8" w:rsidRPr="00BA66BC" w:rsidTr="00C949A8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Основоположні фактори появи консолідованої фінансової звітності: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Виберіть види об’єднань підприємств: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 xml:space="preserve">Яким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національним положенням (стандартом)</w:t>
            </w: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 xml:space="preserve"> затверджені форми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онсолідованої звітності підпри</w:t>
            </w: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ємства: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FB18DF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До консолідованої фінансової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звітності включають показники: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Консолідований баланс (Звіт про фінансовий стан)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призначений для: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Консолідований звіт про фінансові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езультати (Звіт про сукупний до</w:t>
            </w: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хід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призначений для: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 xml:space="preserve">Консолідована фінансова звітність подається: 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Консолідований баланс відрізняється від бухга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лтерського балансу наступним: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онсолідований баланс – це звіт: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Від індивідуальних балансів підприємств-учасників групи консолідований баланс (Звіт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 фінансовий стан):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Процедури консолідації капі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талу розрізняються залежно від: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Інвестиції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нського підприємства у дочірнє: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 xml:space="preserve">Статті,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взаємовиключаються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 статті: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При складанні консолідованого Балансу (Звіту про фінансовий стан) кредит, наданий дочірньому підприємству, що відображається у складі активів материнського підприємства та пасиві дочірнього пі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дприємства: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У консолідованому Балансі (Звіті про фінансовий стан) рядки у зв’язку з процедура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консолідації відображаються: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Яка організація визначає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неконтрольовану частку участі </w:t>
            </w: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у чистому прибутку (збитку) та сукупному доході дочірніх підприємств для складання консолідованого звіту про фінансові результати (Звіту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сукупний дохід):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 xml:space="preserve">Неконтрольована частка для складання консолідованого звіту про фінансові результати (Звіту про сукупний дохід), визначається як добуток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частки</w:t>
            </w: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 xml:space="preserve"> наявних голосів, які не належ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материнському підприємству: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Консолідований звіт про фінансові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тати (Звіт про сукупний дохід) призначений для: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Консолідований звіт про фінансові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ьтати (Звіт про сукупний дохід)</w:t>
            </w: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 xml:space="preserve"> складається за: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Категорія, що не знаходить відображення у консолідованому звіті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рух грошових коштів, – це: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В яких випадках застосовується непрямий метод при складанні консолідованого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звіту про рух грошових коштів?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Консолідований Звіт про рух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рошових коштів групи повинен охоплювати: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 xml:space="preserve">Консолідований Звіт про рух грошових коштів повинен передбачати: 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Що є головною інформаційною базою складання консо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лідованої фінансової звітності: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Метою складання консолідованого звіту про власний капітал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У консолідованому звіті про власний капітал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Коригування залишків власного капіталу на початок року, як правило, відбува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ється в результаті: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Консолідований звіт про 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сний капітал – це: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Подія після дати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балансу – це: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У консолідованих примітках до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інансової звітності наводяться: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Материнське підприємство готує консолідовану фін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ансову звітність, застосовуючи: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Єдину облікову політику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групи підприємств встановлює: 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Показники, що відображають рух грошових коштів у результаті інвестиційної та фінансової діяльності, коригуються з 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ористанням індексу інфляції на: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Консолідова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 фінансову звітність подають: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Холдингове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підприємство раз на рік подає: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C">
              <w:rPr>
                <w:rFonts w:ascii="Times New Roman" w:hAnsi="Times New Roman" w:cs="Times New Roman"/>
                <w:sz w:val="28"/>
                <w:szCs w:val="28"/>
              </w:rPr>
              <w:t>Які підприємства подають консолідовану фінансову звітність: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МСФЗ 3 «Об’єднання бізнесу» не поширюється на: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Операція або подія, за якої покупець отримує контроль над одним або декількома бізнесами називається: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елементів бізнесу відносять: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Повноваження інвестора управляти фінансовою та операційними політиками суб’єкта господарювання з метою отримання вигід від його діяльності це: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Об’єднання бізнесу може бути здійснене: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випадку юридичного об’єднання бізнесу: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BA66BC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випадку економічного об’єднання бізнесу: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одним підприємством контрольного пакету акцій іншого, в результаті якого придбане підприємство стає дочірнім, називається: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Звітна одиниця для потреб складання консолідованої фінансової звітності, – це: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Набуття контролю акціонером здійснюється у вигляді: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стадій методу придбання належать: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стадій методу придбання не належать: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Відносно великий розмір одного об’єднуючого підприємства в порівнянні з іншими підприємствами групи, є ознакою: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 дати придбання здійснюється з метою: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Якщо актив може бути відокремленим від підприємства та проданим, переданим, обміненим, зданим в оренду, то він для потреб консолідації є: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Частка участі в капіталі дочірнього підприємства, яка не належить прямо або опосередковано материнській компаній називається: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Неконтрольована частка участі в капіталі дочірнього підприємства в консолідованій фінансовій звітності відображається: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Компанія придбала 80 % простих акцій іншого підприємства вартість чистих активів якого складає 500 тис. грн. Неконтрольована частка в складі консолідованої фінансової звітності складає: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форм компенсації, переданої при об’єднанні бізнесу належать: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Актив, який відображає майбутні економічні вигоди, що є результатом інших активів, придбаних при об’єднанні бізнесу та не можуть бути індивідуально ідентифіковані та окремо визнані, це: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Гудвіл визначається на дату: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Перевищення суми компенсації та неконтрольованої частки над чистою справедливою вартістю ідентифікованих активів, зобов’язань та умовних зобов’язань, – це: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Гудвіл при об’єднанні бізнесу на дату придбання в консолідованій фінансовій звітності визнається: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визначенні гудвілу на дату придбання неконтрольована частка в об’єкті інвестицій до суми переданої компенсації: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визначенні гудвілу на дату придбання чисті придбані активи та зобов’язання від суми переданої компенсації: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Гудвіл щороку підлягає: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Якщо вартість придбаних чистих активів є вищою за суму переданої компенсації, то покупець визначає: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Прибуток при вигідній угоді, який утворюється в результаті перевищення суми придбаних чистих активів над сумою компенсації в консолідованій фінансові звітності відображається: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Компанія придбала 100 % чистих активів іншого підприємства вартістю 450 тис. грн. При придбанні передано компенсацію покупцем у розмірі 550 тис. грн. При визначенні результату придбання бізнесу, покупець в консолідованій фінансовій звітності відображає: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Компанія придбала 100 % чистих активів іншого підприємства вартістю 550 тис. грн. При придбанні передано компенсацію покупцем у розмірі 450 тис. грн. При визначенні результату придбання бізнесу, покупець в консолідованій фінансовій звітності відображає: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Застосування методу придбання розпочинається з моменту: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поетапного придбання бізнесу, кожна суттєва операція з придбання відображається в бухгалтерському обліку: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Ситуація, за якої одне підприємство емітує акції для придбання іншого підприємства, в результаті чого контроль над об’єднаним підприємством переходить власникам підприємства, акції якого були придбані, називається: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Розкриття інформації про об’єднання бізнесу у фінансовій звітності розкривається: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МСФЗ 10 «Консолідована фінансова звітність» розкриває: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Інвестор володіє правом контролю по відношенню до об’єкта інвестування, якщо він: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Значима діяльність – це діяльність, яка здійснює значний плив на: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дивлячись на те, що право контролю має лише один інвестор, інші учасники: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Якщо материнське підприємство втратило контроль над дочірнім підприємством, то воно повинне: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Материнське підприємство може не подавати консолідовану фінансову звітність: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Якщо окремі фінансові звіти підприємств групи складені на різні дати, то для цілей складання консолідованої фінансової звітності додаткові звіти готує: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Якщо неможливо дочірньому підприємству підготувати додаткову звітність для потреб консолідації у випадку розбіжностей дат фінансових звітів дочірнього та материнського підприємства, то законодавством дозволяється різниця, яка не повинна перевищувати: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консолідованої фінансової звітності здійснюється шляхом: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метою попередження подвоєння сум фінансових інвестицій в капіталі материнського підприємства, необхідно: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процесі виключення балансової вартості фінансових інвестицій  материнського підприємства визначається: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Вартісна різниця – це різниця між: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Вартісна різниця в подальшому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перекласифіковується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Сума дооцінки необоротних активів, яка виникає внаслідок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перекласифікації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вартісної різниці: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Внутрішньогрупові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операції для потреб консолідації: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Внутрішньогрупові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операції – це операції між: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Внутрішньогрупові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операції діляться на: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Зазвичай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внутрішньогрупові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операції відображаються у дочірнього та материнського підприємства у складі: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внутрішньогрупових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операцій можуть бути: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Внутрішньогрупове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сальдо – це: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Нереалізовані прибутки та збитки – це збитки, які: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Нереалізовані прибутки під час консолідації: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Нереалізовані збитки під час консолідації: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Неконтрольована частка визначається шляхом множення частки голосів, які не належать материнському підприємству на: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Неконтрольована частка відображається в консолідованій фінансовій звітності за: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Неконтрольована частка для потреб консолідації: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Дивіденди, пов’язані з кумулятивними привілейованими акціями дочірнього підприємства, які утримуються поза межами групи, для потреб консолідації: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Відстрочені податкові активи та зобов’язання під час консолідації: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Відстрочені податкові активи та зобов’язання під час консолідації є результатом: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результаті консолідації фінансових звітів дочірніх підприємств зарубіжних країн, в консолідованій звітності підлягає відображенню: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Коригування для складання консолідованої фінансової звітності відображаються: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0C">
              <w:rPr>
                <w:rFonts w:ascii="Times New Roman" w:hAnsi="Times New Roman" w:cs="Times New Roman"/>
                <w:sz w:val="28"/>
                <w:szCs w:val="28"/>
              </w:rPr>
              <w:t>Чисті активи підприємства – це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0C">
              <w:rPr>
                <w:rFonts w:ascii="Times New Roman" w:hAnsi="Times New Roman" w:cs="Times New Roman"/>
                <w:sz w:val="28"/>
                <w:szCs w:val="28"/>
              </w:rPr>
              <w:t>Гудвіл амортизації: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є відокремленою фінансовою звітністю: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Відокремлена фінансова звітність: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Асоційоване підприємство – це підприємство: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Суттєвий вплив – це повноваження: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Інвестор має суттєвий вплив, якщо він володіє: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Свідченнями суттєвого впливу інвестора є: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Інвестиції в асоційовані та спільні підприємства обліковуються6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участі в капіталі не використовується якщо: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участі в капіталі – це метод обліку, відповідно до якого інвестиція спочатку оцінюється за: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Дивіденди, отримані від асоційованого підприємства: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Збиток від зменшення корисності інвестиції, утримуваної за методом участі в капіталі: 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Частка в чистому прибутку асоційованого підприємства: 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Частка в чистому збитку асоційованого підприємства: 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Частка в будь-якому зменшенні капіталу асоційованого підприємства: 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Інвестиції, що обліковуються з методом участі в капітал обліковуються у складі: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Частка інвестора в чистому прибутку асоційованого підприємства за звітний період є для інвестора: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Частка інвестора в чистому збитку асоційованого підприємства за звітний період є для інвестора: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Дохід (втрати) від участі в капіталі відображається у інвестора: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Прибуток асоційованого підприємства: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застосуванні методу участі в капіталі інвестор отримує інформацію про зміни у власному капіталі асоційованого підприємства: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дивідендів за інвестиціями відображається в бухгалтерському обліку шляхом зменшення: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Фінансова інвестиція відображається за нульовою вартістю, якщо: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Якщо частка інвестора в збитках дорівнює або перевищує балансову вартість фінансової інвестиції, то така інвестиція відображається за: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Якщо частка інвестора в збитках дорівнює або перевищує балансову вартість фінансової інвестиції, то така інвестиція підлягає: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Після досягнення нульової вартості інвестор знову відображає фінансові інвестиції у звітності лише після того як: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отриманні дивідендів від участі в капіталі, податок на прибуток за результатами таких операцій: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 асоційованого підприємства може змінюватися за рахунок.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Амортизація дооцінки активів асоційованого підприємства відображається інвестором у складі: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Амортизація уцінки активів асоційованого підприємства відображається інвестором у складі: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методу участі в капіталі при консолідації виключаються нереалізовані прибутки та збитки, які виникли в результаті операцій між: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випадку отримання інформації про зменшення корисності фінансової інвестиції, утримуваною за методом участі в капіталі, інвестор повинен відобразити: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Підприємство припиняє використовувати метод участі в капіталі з дати: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Спільна діяльність – це діяльність, яка: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спільної діяльності є суб’єкт, який приймає участь у спільній діяльності: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Спільна операція – спільна діяльність, яка передбачає наявність у сторін прав: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Спільна діяльність – спільна діяльність, яка передбачає наявність у сторін прав: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Сторони, які мають права на активи та несуть відповідальність за зобов’язаннями спільної діяльності, називають: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Бухгалтерський облік спільної діяльності: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особа та члени його сім’ї є пов’язаною стороною, якщо: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Контрольний пакет акцій –</w:t>
            </w:r>
            <w:r w:rsidRPr="00072C86"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Головною </w:t>
            </w:r>
            <w:r w:rsidRPr="00072C86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 корпоративного управління є: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widowControl w:val="0"/>
              <w:shd w:val="clear" w:color="auto" w:fill="FFFFFF"/>
              <w:tabs>
                <w:tab w:val="left" w:pos="461"/>
                <w:tab w:val="left" w:pos="540"/>
                <w:tab w:val="num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86">
              <w:rPr>
                <w:rFonts w:ascii="Times New Roman" w:hAnsi="Times New Roman" w:cs="Times New Roman"/>
                <w:sz w:val="28"/>
                <w:szCs w:val="28"/>
              </w:rPr>
              <w:t>Нерозподілений прибуток дочірнього підприємства після об’єднання до консолідованого балансу: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widowControl w:val="0"/>
              <w:shd w:val="clear" w:color="auto" w:fill="FFFFFF"/>
              <w:tabs>
                <w:tab w:val="left" w:pos="461"/>
                <w:tab w:val="left" w:pos="540"/>
                <w:tab w:val="num" w:pos="900"/>
                <w:tab w:val="left" w:pos="1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C86">
              <w:rPr>
                <w:rFonts w:ascii="Times New Roman" w:hAnsi="Times New Roman" w:cs="Times New Roman"/>
                <w:sz w:val="28"/>
                <w:szCs w:val="28"/>
              </w:rPr>
              <w:t>У консолідованій фінансовій звітності насамперед зацікавлені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widowControl w:val="0"/>
              <w:shd w:val="clear" w:color="auto" w:fill="FFFFFF"/>
              <w:tabs>
                <w:tab w:val="left" w:pos="461"/>
                <w:tab w:val="left" w:pos="540"/>
                <w:tab w:val="num" w:pos="900"/>
                <w:tab w:val="left" w:pos="1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C10">
              <w:rPr>
                <w:rFonts w:ascii="Times New Roman" w:hAnsi="Times New Roman" w:cs="Times New Roman"/>
                <w:sz w:val="28"/>
                <w:szCs w:val="28"/>
              </w:rPr>
              <w:t>Консолідація звітів підприємств А, В і С повинна бути здійснена, якщо: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widowControl w:val="0"/>
              <w:shd w:val="clear" w:color="auto" w:fill="FFFFFF"/>
              <w:tabs>
                <w:tab w:val="left" w:pos="461"/>
                <w:tab w:val="left" w:pos="540"/>
                <w:tab w:val="num" w:pos="900"/>
                <w:tab w:val="left" w:pos="16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3C2">
              <w:rPr>
                <w:rFonts w:ascii="Times New Roman" w:hAnsi="Times New Roman" w:cs="Times New Roman"/>
                <w:sz w:val="28"/>
                <w:szCs w:val="28"/>
              </w:rPr>
              <w:t>3а якою оцінкою мають бути відображені у звітності основні засоби залежно від методу об’єднання підприємств?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widowControl w:val="0"/>
              <w:shd w:val="clear" w:color="auto" w:fill="FFFFFF"/>
              <w:tabs>
                <w:tab w:val="left" w:pos="461"/>
                <w:tab w:val="left" w:pos="540"/>
                <w:tab w:val="num" w:pos="900"/>
                <w:tab w:val="left" w:pos="16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3C2">
              <w:rPr>
                <w:rFonts w:ascii="Times New Roman" w:hAnsi="Times New Roman" w:cs="Times New Roman"/>
                <w:sz w:val="28"/>
                <w:szCs w:val="28"/>
              </w:rPr>
              <w:t>Гудвіл – це: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widowControl w:val="0"/>
              <w:shd w:val="clear" w:color="auto" w:fill="FFFFFF"/>
              <w:tabs>
                <w:tab w:val="left" w:pos="461"/>
                <w:tab w:val="left" w:pos="540"/>
                <w:tab w:val="num" w:pos="900"/>
                <w:tab w:val="left" w:pos="16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3C2">
              <w:rPr>
                <w:rFonts w:ascii="Times New Roman" w:hAnsi="Times New Roman" w:cs="Times New Roman"/>
                <w:sz w:val="28"/>
                <w:szCs w:val="28"/>
              </w:rPr>
              <w:t>Виправлення помилок, допущених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складанні консолідованої звіт</w:t>
            </w:r>
            <w:r w:rsidRPr="00CF73C2">
              <w:rPr>
                <w:rFonts w:ascii="Times New Roman" w:hAnsi="Times New Roman" w:cs="Times New Roman"/>
                <w:sz w:val="28"/>
                <w:szCs w:val="28"/>
              </w:rPr>
              <w:t>ності у попередніх періодах, здійснюється: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widowControl w:val="0"/>
              <w:shd w:val="clear" w:color="auto" w:fill="FFFFFF"/>
              <w:tabs>
                <w:tab w:val="left" w:pos="461"/>
                <w:tab w:val="left" w:pos="540"/>
                <w:tab w:val="num" w:pos="900"/>
                <w:tab w:val="left" w:pos="16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3C2">
              <w:rPr>
                <w:rFonts w:ascii="Times New Roman" w:hAnsi="Times New Roman" w:cs="Times New Roman"/>
                <w:sz w:val="28"/>
                <w:szCs w:val="28"/>
              </w:rPr>
              <w:t>Різниця між балансовою та справедливою вартістю придбаних ідентифікованих активів і зобов’язань на дату придбання відображається у консолідованій фінансовій звітності у складі: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widowControl w:val="0"/>
              <w:shd w:val="clear" w:color="auto" w:fill="FFFFFF"/>
              <w:tabs>
                <w:tab w:val="left" w:pos="461"/>
                <w:tab w:val="left" w:pos="540"/>
                <w:tab w:val="num" w:pos="900"/>
                <w:tab w:val="left" w:pos="16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3C2">
              <w:rPr>
                <w:rFonts w:ascii="Times New Roman" w:hAnsi="Times New Roman" w:cs="Times New Roman"/>
                <w:sz w:val="28"/>
                <w:szCs w:val="28"/>
              </w:rPr>
              <w:t>Єдина облікова політика має застосовуватись: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випадку здійснення спільної діяльності інформацію щодо такої діяльності у власній звітності відображає: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Якщо оператор вносить або продає активи іншим сторонам спільної діяльності, то він повинен визначати прибуток або збиток від такої угоди: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Підприємство, яке придбає активи у спільної діяльності, не повинно відображати власну частку прибутків або збитків до тих пір, поки: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МСФЗ вимагає розкриття інформації про пов’язані сторони в розрізі: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Якщо підприємство протягом звітного періоду здійснювало операції з пов’язаними сторонами, то воно повинне: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Відносини між материнським та дочірнім підприємством слід розкривати: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Розкриття інформації про пов’язані сторони, статті, подібні за характером:</w:t>
            </w:r>
          </w:p>
        </w:tc>
      </w:tr>
      <w:tr w:rsidR="00C949A8" w:rsidRPr="00BA66BC" w:rsidTr="00F520F4">
        <w:tc>
          <w:tcPr>
            <w:tcW w:w="817" w:type="dxa"/>
            <w:shd w:val="clear" w:color="auto" w:fill="FFFFFF" w:themeFill="background1"/>
          </w:tcPr>
          <w:p w:rsidR="00C949A8" w:rsidRPr="00247B72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B72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8817" w:type="dxa"/>
            <w:shd w:val="clear" w:color="auto" w:fill="FFFFFF" w:themeFill="background1"/>
          </w:tcPr>
          <w:p w:rsidR="00C949A8" w:rsidRPr="00247B72" w:rsidRDefault="00C949A8" w:rsidP="00F5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B72">
              <w:rPr>
                <w:rFonts w:ascii="Times New Roman" w:hAnsi="Times New Roman" w:cs="Times New Roman"/>
                <w:sz w:val="28"/>
                <w:szCs w:val="28"/>
              </w:rPr>
              <w:t>Пов’язане з владою підприємством – це підприємство, яке:</w:t>
            </w:r>
          </w:p>
        </w:tc>
      </w:tr>
    </w:tbl>
    <w:p w:rsidR="00C949A8" w:rsidRPr="00BA66BC" w:rsidRDefault="00C949A8" w:rsidP="00BA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9A8" w:rsidRPr="00BA66BC" w:rsidSect="007008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1510"/>
    <w:multiLevelType w:val="hybridMultilevel"/>
    <w:tmpl w:val="7BCA52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3D92"/>
    <w:multiLevelType w:val="hybridMultilevel"/>
    <w:tmpl w:val="8AC63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3C2C"/>
    <w:multiLevelType w:val="hybridMultilevel"/>
    <w:tmpl w:val="510461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31E1F"/>
    <w:multiLevelType w:val="hybridMultilevel"/>
    <w:tmpl w:val="59E8860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3252"/>
    <w:multiLevelType w:val="hybridMultilevel"/>
    <w:tmpl w:val="CE5407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E6454"/>
    <w:multiLevelType w:val="hybridMultilevel"/>
    <w:tmpl w:val="723855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62272"/>
    <w:multiLevelType w:val="hybridMultilevel"/>
    <w:tmpl w:val="3C981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F41D8"/>
    <w:multiLevelType w:val="hybridMultilevel"/>
    <w:tmpl w:val="39109D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07130"/>
    <w:multiLevelType w:val="hybridMultilevel"/>
    <w:tmpl w:val="CE96DC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D3197"/>
    <w:multiLevelType w:val="hybridMultilevel"/>
    <w:tmpl w:val="3D3C94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20A74"/>
    <w:multiLevelType w:val="hybridMultilevel"/>
    <w:tmpl w:val="6944D0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66B9D"/>
    <w:multiLevelType w:val="hybridMultilevel"/>
    <w:tmpl w:val="04A81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D6E37"/>
    <w:multiLevelType w:val="hybridMultilevel"/>
    <w:tmpl w:val="4AA64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B3A3E"/>
    <w:multiLevelType w:val="hybridMultilevel"/>
    <w:tmpl w:val="7E54F3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866CC"/>
    <w:multiLevelType w:val="hybridMultilevel"/>
    <w:tmpl w:val="246224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77ECA"/>
    <w:multiLevelType w:val="hybridMultilevel"/>
    <w:tmpl w:val="E1EA5572"/>
    <w:lvl w:ilvl="0" w:tplc="89D408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F141B95"/>
    <w:multiLevelType w:val="hybridMultilevel"/>
    <w:tmpl w:val="39B4F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C12F4"/>
    <w:multiLevelType w:val="hybridMultilevel"/>
    <w:tmpl w:val="BB30BB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415E3"/>
    <w:multiLevelType w:val="hybridMultilevel"/>
    <w:tmpl w:val="D0C0DC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D043F"/>
    <w:multiLevelType w:val="hybridMultilevel"/>
    <w:tmpl w:val="1166E53A"/>
    <w:lvl w:ilvl="0" w:tplc="128602E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66544B0"/>
    <w:multiLevelType w:val="hybridMultilevel"/>
    <w:tmpl w:val="B4F0E9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F00BA"/>
    <w:multiLevelType w:val="hybridMultilevel"/>
    <w:tmpl w:val="6FD0DC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642D7"/>
    <w:multiLevelType w:val="hybridMultilevel"/>
    <w:tmpl w:val="249A85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B7BBC"/>
    <w:multiLevelType w:val="hybridMultilevel"/>
    <w:tmpl w:val="446C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F3168"/>
    <w:multiLevelType w:val="hybridMultilevel"/>
    <w:tmpl w:val="F0AC9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045C7"/>
    <w:multiLevelType w:val="hybridMultilevel"/>
    <w:tmpl w:val="4D5655A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B04D4"/>
    <w:multiLevelType w:val="hybridMultilevel"/>
    <w:tmpl w:val="E82A35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30AE4"/>
    <w:multiLevelType w:val="hybridMultilevel"/>
    <w:tmpl w:val="9F46DC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A4C0C"/>
    <w:multiLevelType w:val="hybridMultilevel"/>
    <w:tmpl w:val="9FEA60E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6632D"/>
    <w:multiLevelType w:val="hybridMultilevel"/>
    <w:tmpl w:val="DAEACC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C6E7A"/>
    <w:multiLevelType w:val="hybridMultilevel"/>
    <w:tmpl w:val="F0E8A5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74E27"/>
    <w:multiLevelType w:val="hybridMultilevel"/>
    <w:tmpl w:val="2F3EA2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C03FD"/>
    <w:multiLevelType w:val="hybridMultilevel"/>
    <w:tmpl w:val="146CB4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B5D2B"/>
    <w:multiLevelType w:val="hybridMultilevel"/>
    <w:tmpl w:val="41D613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D219C"/>
    <w:multiLevelType w:val="hybridMultilevel"/>
    <w:tmpl w:val="0F1E57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3"/>
  </w:num>
  <w:num w:numId="4">
    <w:abstractNumId w:val="31"/>
  </w:num>
  <w:num w:numId="5">
    <w:abstractNumId w:val="15"/>
  </w:num>
  <w:num w:numId="6">
    <w:abstractNumId w:val="24"/>
  </w:num>
  <w:num w:numId="7">
    <w:abstractNumId w:val="22"/>
  </w:num>
  <w:num w:numId="8">
    <w:abstractNumId w:val="29"/>
  </w:num>
  <w:num w:numId="9">
    <w:abstractNumId w:val="34"/>
  </w:num>
  <w:num w:numId="10">
    <w:abstractNumId w:val="2"/>
  </w:num>
  <w:num w:numId="11">
    <w:abstractNumId w:val="16"/>
  </w:num>
  <w:num w:numId="12">
    <w:abstractNumId w:val="17"/>
  </w:num>
  <w:num w:numId="13">
    <w:abstractNumId w:val="20"/>
  </w:num>
  <w:num w:numId="14">
    <w:abstractNumId w:val="8"/>
  </w:num>
  <w:num w:numId="15">
    <w:abstractNumId w:val="7"/>
  </w:num>
  <w:num w:numId="16">
    <w:abstractNumId w:val="10"/>
  </w:num>
  <w:num w:numId="17">
    <w:abstractNumId w:val="19"/>
  </w:num>
  <w:num w:numId="18">
    <w:abstractNumId w:val="12"/>
  </w:num>
  <w:num w:numId="19">
    <w:abstractNumId w:val="32"/>
  </w:num>
  <w:num w:numId="20">
    <w:abstractNumId w:val="0"/>
  </w:num>
  <w:num w:numId="21">
    <w:abstractNumId w:val="13"/>
  </w:num>
  <w:num w:numId="22">
    <w:abstractNumId w:val="6"/>
  </w:num>
  <w:num w:numId="23">
    <w:abstractNumId w:val="5"/>
  </w:num>
  <w:num w:numId="24">
    <w:abstractNumId w:val="21"/>
  </w:num>
  <w:num w:numId="25">
    <w:abstractNumId w:val="11"/>
  </w:num>
  <w:num w:numId="26">
    <w:abstractNumId w:val="1"/>
  </w:num>
  <w:num w:numId="27">
    <w:abstractNumId w:val="27"/>
  </w:num>
  <w:num w:numId="28">
    <w:abstractNumId w:val="30"/>
  </w:num>
  <w:num w:numId="29">
    <w:abstractNumId w:val="14"/>
  </w:num>
  <w:num w:numId="30">
    <w:abstractNumId w:val="4"/>
  </w:num>
  <w:num w:numId="31">
    <w:abstractNumId w:val="25"/>
  </w:num>
  <w:num w:numId="32">
    <w:abstractNumId w:val="3"/>
  </w:num>
  <w:num w:numId="33">
    <w:abstractNumId w:val="18"/>
  </w:num>
  <w:num w:numId="34">
    <w:abstractNumId w:val="2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26"/>
    <w:rsid w:val="00003C81"/>
    <w:rsid w:val="00021F47"/>
    <w:rsid w:val="00036CC3"/>
    <w:rsid w:val="00044DEB"/>
    <w:rsid w:val="00050426"/>
    <w:rsid w:val="00054E6D"/>
    <w:rsid w:val="00072C86"/>
    <w:rsid w:val="00076E26"/>
    <w:rsid w:val="000846A3"/>
    <w:rsid w:val="000A145F"/>
    <w:rsid w:val="000B0E73"/>
    <w:rsid w:val="000B2EEB"/>
    <w:rsid w:val="000B3ED0"/>
    <w:rsid w:val="000C2065"/>
    <w:rsid w:val="000E384F"/>
    <w:rsid w:val="0014214C"/>
    <w:rsid w:val="0014454A"/>
    <w:rsid w:val="00144976"/>
    <w:rsid w:val="00187EB1"/>
    <w:rsid w:val="001900DD"/>
    <w:rsid w:val="00192EAA"/>
    <w:rsid w:val="001A490E"/>
    <w:rsid w:val="001B1833"/>
    <w:rsid w:val="001B40D5"/>
    <w:rsid w:val="001F5994"/>
    <w:rsid w:val="00201A15"/>
    <w:rsid w:val="00202B0C"/>
    <w:rsid w:val="002060CE"/>
    <w:rsid w:val="002079AF"/>
    <w:rsid w:val="002302B6"/>
    <w:rsid w:val="00234318"/>
    <w:rsid w:val="00241F92"/>
    <w:rsid w:val="00247B72"/>
    <w:rsid w:val="00276A5C"/>
    <w:rsid w:val="00292162"/>
    <w:rsid w:val="0029557C"/>
    <w:rsid w:val="003257E4"/>
    <w:rsid w:val="0033031E"/>
    <w:rsid w:val="00362BF6"/>
    <w:rsid w:val="00392933"/>
    <w:rsid w:val="00447690"/>
    <w:rsid w:val="004545B0"/>
    <w:rsid w:val="00454BFF"/>
    <w:rsid w:val="00466796"/>
    <w:rsid w:val="00485C42"/>
    <w:rsid w:val="00486662"/>
    <w:rsid w:val="004A62BA"/>
    <w:rsid w:val="004C08BA"/>
    <w:rsid w:val="004D6E31"/>
    <w:rsid w:val="004F08CD"/>
    <w:rsid w:val="005165BE"/>
    <w:rsid w:val="00530046"/>
    <w:rsid w:val="005364CB"/>
    <w:rsid w:val="00540140"/>
    <w:rsid w:val="00540F30"/>
    <w:rsid w:val="0055345E"/>
    <w:rsid w:val="00571507"/>
    <w:rsid w:val="0057309D"/>
    <w:rsid w:val="00590C31"/>
    <w:rsid w:val="0059758F"/>
    <w:rsid w:val="005D4081"/>
    <w:rsid w:val="005E1B4F"/>
    <w:rsid w:val="005E41E2"/>
    <w:rsid w:val="005F34D5"/>
    <w:rsid w:val="006034F4"/>
    <w:rsid w:val="0062226C"/>
    <w:rsid w:val="00622985"/>
    <w:rsid w:val="00634915"/>
    <w:rsid w:val="00636A8F"/>
    <w:rsid w:val="0065523E"/>
    <w:rsid w:val="00655D6B"/>
    <w:rsid w:val="00655ED7"/>
    <w:rsid w:val="00665550"/>
    <w:rsid w:val="006771FD"/>
    <w:rsid w:val="0069168A"/>
    <w:rsid w:val="006E4B7B"/>
    <w:rsid w:val="00700817"/>
    <w:rsid w:val="00700B9C"/>
    <w:rsid w:val="007125EB"/>
    <w:rsid w:val="00715C10"/>
    <w:rsid w:val="00717F06"/>
    <w:rsid w:val="007302DE"/>
    <w:rsid w:val="00742012"/>
    <w:rsid w:val="007473DC"/>
    <w:rsid w:val="00795DCC"/>
    <w:rsid w:val="007B1616"/>
    <w:rsid w:val="007E547A"/>
    <w:rsid w:val="007F44F6"/>
    <w:rsid w:val="007F6D28"/>
    <w:rsid w:val="00802763"/>
    <w:rsid w:val="008423BB"/>
    <w:rsid w:val="0085219A"/>
    <w:rsid w:val="00894AB3"/>
    <w:rsid w:val="008B0495"/>
    <w:rsid w:val="008B4E88"/>
    <w:rsid w:val="008C0255"/>
    <w:rsid w:val="008C08FC"/>
    <w:rsid w:val="008C5180"/>
    <w:rsid w:val="008D57D6"/>
    <w:rsid w:val="008D7A1C"/>
    <w:rsid w:val="008F6B03"/>
    <w:rsid w:val="00902C6A"/>
    <w:rsid w:val="00917005"/>
    <w:rsid w:val="00937EC7"/>
    <w:rsid w:val="00945319"/>
    <w:rsid w:val="009760AB"/>
    <w:rsid w:val="00987C83"/>
    <w:rsid w:val="00994CCA"/>
    <w:rsid w:val="009B7646"/>
    <w:rsid w:val="009C385D"/>
    <w:rsid w:val="009F504D"/>
    <w:rsid w:val="00A0371D"/>
    <w:rsid w:val="00A11D26"/>
    <w:rsid w:val="00A15E6A"/>
    <w:rsid w:val="00A21D3D"/>
    <w:rsid w:val="00A84C0D"/>
    <w:rsid w:val="00A91F1E"/>
    <w:rsid w:val="00AA2326"/>
    <w:rsid w:val="00AA3038"/>
    <w:rsid w:val="00AA3200"/>
    <w:rsid w:val="00AA5A50"/>
    <w:rsid w:val="00AA5F7E"/>
    <w:rsid w:val="00AC397E"/>
    <w:rsid w:val="00AD4D67"/>
    <w:rsid w:val="00AE26E1"/>
    <w:rsid w:val="00AF4AC4"/>
    <w:rsid w:val="00B016CC"/>
    <w:rsid w:val="00B06FFF"/>
    <w:rsid w:val="00B5166E"/>
    <w:rsid w:val="00B554B1"/>
    <w:rsid w:val="00B564DE"/>
    <w:rsid w:val="00B65B5A"/>
    <w:rsid w:val="00B81BB9"/>
    <w:rsid w:val="00BA2317"/>
    <w:rsid w:val="00BA66BC"/>
    <w:rsid w:val="00BB120F"/>
    <w:rsid w:val="00BE1475"/>
    <w:rsid w:val="00BE4AD7"/>
    <w:rsid w:val="00C0424C"/>
    <w:rsid w:val="00C06137"/>
    <w:rsid w:val="00C359C7"/>
    <w:rsid w:val="00C511CD"/>
    <w:rsid w:val="00C674F4"/>
    <w:rsid w:val="00C949A8"/>
    <w:rsid w:val="00CC2975"/>
    <w:rsid w:val="00CD34A3"/>
    <w:rsid w:val="00CD5299"/>
    <w:rsid w:val="00CF445E"/>
    <w:rsid w:val="00CF726A"/>
    <w:rsid w:val="00CF73C2"/>
    <w:rsid w:val="00D1257F"/>
    <w:rsid w:val="00D21E1F"/>
    <w:rsid w:val="00D36114"/>
    <w:rsid w:val="00D44A5B"/>
    <w:rsid w:val="00D86745"/>
    <w:rsid w:val="00D877BB"/>
    <w:rsid w:val="00D94316"/>
    <w:rsid w:val="00DA17E3"/>
    <w:rsid w:val="00DA2B0C"/>
    <w:rsid w:val="00DD1CCE"/>
    <w:rsid w:val="00E21048"/>
    <w:rsid w:val="00E27CC4"/>
    <w:rsid w:val="00E60890"/>
    <w:rsid w:val="00E854EB"/>
    <w:rsid w:val="00E855FB"/>
    <w:rsid w:val="00E87D89"/>
    <w:rsid w:val="00E96681"/>
    <w:rsid w:val="00EC0A10"/>
    <w:rsid w:val="00EC4D8A"/>
    <w:rsid w:val="00ED1621"/>
    <w:rsid w:val="00EF586F"/>
    <w:rsid w:val="00F005AB"/>
    <w:rsid w:val="00F06820"/>
    <w:rsid w:val="00F13827"/>
    <w:rsid w:val="00F15B47"/>
    <w:rsid w:val="00F21F89"/>
    <w:rsid w:val="00F32B09"/>
    <w:rsid w:val="00F42F44"/>
    <w:rsid w:val="00F52AB3"/>
    <w:rsid w:val="00FA4E82"/>
    <w:rsid w:val="00FA6C91"/>
    <w:rsid w:val="00FB18DF"/>
    <w:rsid w:val="00FC14D7"/>
    <w:rsid w:val="00FD2183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213E6-2A7E-44D8-BC05-D5FA6451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44976"/>
    <w:pPr>
      <w:ind w:left="720"/>
      <w:contextualSpacing/>
    </w:pPr>
    <w:rPr>
      <w:rFonts w:ascii="Calibri" w:eastAsia="Calibri" w:hAnsi="Calibri" w:cs="Times New Roman"/>
      <w:lang w:eastAsia="uk-UA"/>
    </w:rPr>
  </w:style>
  <w:style w:type="paragraph" w:customStyle="1" w:styleId="Default">
    <w:name w:val="Default"/>
    <w:rsid w:val="000B3ED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сновной текст + Полужирный"/>
    <w:aliases w:val="Интервал 0 pt"/>
    <w:basedOn w:val="a0"/>
    <w:rsid w:val="00076E2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bidi="ar-SA"/>
    </w:rPr>
  </w:style>
  <w:style w:type="paragraph" w:styleId="3">
    <w:name w:val="Body Text Indent 3"/>
    <w:basedOn w:val="a"/>
    <w:link w:val="30"/>
    <w:rsid w:val="00076E2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76E2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17F0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717F0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17F06"/>
    <w:pPr>
      <w:ind w:left="720"/>
      <w:contextualSpacing/>
    </w:pPr>
  </w:style>
  <w:style w:type="character" w:customStyle="1" w:styleId="9pt">
    <w:name w:val="Основной текст + 9 pt"/>
    <w:rsid w:val="00A11D26"/>
    <w:rPr>
      <w:rFonts w:ascii="Times New Roman" w:hAnsi="Times New Roman"/>
      <w:sz w:val="18"/>
      <w:u w:val="none"/>
    </w:rPr>
  </w:style>
  <w:style w:type="paragraph" w:styleId="a6">
    <w:name w:val="Body Text"/>
    <w:basedOn w:val="a"/>
    <w:link w:val="a7"/>
    <w:rsid w:val="00A11D26"/>
    <w:pPr>
      <w:spacing w:after="120"/>
    </w:pPr>
    <w:rPr>
      <w:rFonts w:ascii="Calibri" w:eastAsia="Calibri" w:hAnsi="Calibri" w:cs="Times New Roman"/>
      <w:lang w:eastAsia="uk-UA"/>
    </w:rPr>
  </w:style>
  <w:style w:type="character" w:customStyle="1" w:styleId="a7">
    <w:name w:val="Основной текст Знак"/>
    <w:basedOn w:val="a0"/>
    <w:link w:val="a6"/>
    <w:rsid w:val="00A11D26"/>
    <w:rPr>
      <w:rFonts w:ascii="Calibri" w:eastAsia="Calibri" w:hAnsi="Calibri" w:cs="Times New Roman"/>
      <w:lang w:eastAsia="uk-UA"/>
    </w:rPr>
  </w:style>
  <w:style w:type="character" w:customStyle="1" w:styleId="9pt1">
    <w:name w:val="Основной текст + 9 pt1"/>
    <w:aliases w:val="Полужирный2"/>
    <w:rsid w:val="00A11D26"/>
    <w:rPr>
      <w:rFonts w:ascii="Times New Roman" w:hAnsi="Times New Roman"/>
      <w:b/>
      <w:sz w:val="18"/>
      <w:u w:val="none"/>
    </w:rPr>
  </w:style>
  <w:style w:type="character" w:customStyle="1" w:styleId="a8">
    <w:name w:val="Основной текст_"/>
    <w:basedOn w:val="a0"/>
    <w:link w:val="31"/>
    <w:locked/>
    <w:rsid w:val="00A11D26"/>
    <w:rPr>
      <w:sz w:val="21"/>
      <w:szCs w:val="21"/>
      <w:shd w:val="clear" w:color="auto" w:fill="FFFFFF"/>
    </w:rPr>
  </w:style>
  <w:style w:type="character" w:customStyle="1" w:styleId="a9">
    <w:name w:val="Основной текст + Курсив"/>
    <w:basedOn w:val="a8"/>
    <w:rsid w:val="00A11D26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customStyle="1" w:styleId="31">
    <w:name w:val="Основной текст3"/>
    <w:basedOn w:val="a"/>
    <w:link w:val="a8"/>
    <w:rsid w:val="00A11D26"/>
    <w:pPr>
      <w:widowControl w:val="0"/>
      <w:shd w:val="clear" w:color="auto" w:fill="FFFFFF"/>
      <w:spacing w:after="0" w:line="264" w:lineRule="exact"/>
      <w:jc w:val="both"/>
    </w:pPr>
    <w:rPr>
      <w:sz w:val="21"/>
      <w:szCs w:val="21"/>
      <w:shd w:val="clear" w:color="auto" w:fill="FFFFFF"/>
    </w:rPr>
  </w:style>
  <w:style w:type="character" w:customStyle="1" w:styleId="21">
    <w:name w:val="Основной текст + Полужирный2"/>
    <w:basedOn w:val="a8"/>
    <w:rsid w:val="00A11D26"/>
    <w:rPr>
      <w:rFonts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customStyle="1" w:styleId="22">
    <w:name w:val="Абзац списка2"/>
    <w:basedOn w:val="a"/>
    <w:rsid w:val="00AF4AC4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4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F4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084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846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08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0846A3"/>
  </w:style>
  <w:style w:type="paragraph" w:styleId="ac">
    <w:name w:val="Normal (Web)"/>
    <w:basedOn w:val="a"/>
    <w:uiPriority w:val="99"/>
    <w:unhideWhenUsed/>
    <w:rsid w:val="00AA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searchterm">
    <w:name w:val="docsearchterm"/>
    <w:basedOn w:val="a0"/>
    <w:rsid w:val="008C0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E47B-43F6-46A9-AC12-1862EF2E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9273</Words>
  <Characters>5286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Іваненко Валентина Олександрівна</cp:lastModifiedBy>
  <cp:revision>3</cp:revision>
  <dcterms:created xsi:type="dcterms:W3CDTF">2019-09-12T12:29:00Z</dcterms:created>
  <dcterms:modified xsi:type="dcterms:W3CDTF">2019-09-20T10:21:00Z</dcterms:modified>
</cp:coreProperties>
</file>