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9C7AF0">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sidR="0036660A">
        <w:rPr>
          <w:rFonts w:ascii="Times New Roman" w:hAnsi="Times New Roman" w:cs="Times New Roman"/>
          <w:b/>
          <w:bCs/>
          <w:sz w:val="32"/>
          <w:szCs w:val="32"/>
        </w:rPr>
        <w:t xml:space="preserve"> ІНОЗЕМНОЇ МОВИ ДЛЯ </w:t>
      </w:r>
      <w:r w:rsidR="00CA293A" w:rsidRPr="00CA293A">
        <w:rPr>
          <w:rFonts w:ascii="Times New Roman" w:hAnsi="Times New Roman" w:cs="Times New Roman"/>
          <w:b/>
          <w:bCs/>
          <w:sz w:val="32"/>
          <w:szCs w:val="32"/>
          <w:lang w:val="ru-RU"/>
        </w:rPr>
        <w:t>2</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bookmarkStart w:id="0" w:name="_GoBack"/>
        <w:bookmarkEnd w:id="0"/>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xml:space="preserve"> that what they are doing </w:t>
            </w:r>
            <w:r w:rsidRPr="001D27F7">
              <w:rPr>
                <w:rFonts w:ascii="Times New Roman" w:hAnsi="Times New Roman" w:cs="Times New Roman"/>
                <w:sz w:val="28"/>
                <w:szCs w:val="28"/>
              </w:rPr>
              <w:lastRenderedPageBreak/>
              <w:t>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A293A"/>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16421</Words>
  <Characters>9360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15</cp:revision>
  <dcterms:created xsi:type="dcterms:W3CDTF">2018-11-14T08:09:00Z</dcterms:created>
  <dcterms:modified xsi:type="dcterms:W3CDTF">2020-03-16T07:11:00Z</dcterms:modified>
</cp:coreProperties>
</file>