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99"/>
      </w:tblGrid>
      <w:tr w:rsidR="000B56BB" w:rsidRPr="00156DB1" w:rsidTr="00084816">
        <w:trPr>
          <w:jc w:val="center"/>
        </w:trPr>
        <w:tc>
          <w:tcPr>
            <w:tcW w:w="9527" w:type="dxa"/>
            <w:gridSpan w:val="2"/>
          </w:tcPr>
          <w:p w:rsidR="000B56BB" w:rsidRPr="00156DB1" w:rsidRDefault="003170C0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156DB1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0B56BB" w:rsidRPr="00156DB1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>менеджменту і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підприємництва</w:t>
            </w:r>
          </w:p>
          <w:p w:rsidR="00BE246B" w:rsidRPr="00156DB1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111B94" w:rsidRPr="00156DB1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  <w:r w:rsidR="00BE246B"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B94" w:rsidRPr="00156DB1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та біржова діяльність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6BB" w:rsidRPr="00156DB1" w:rsidRDefault="000B56BB" w:rsidP="00BE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635D25" w:rsidRPr="00156DB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11B94" w:rsidRPr="00156DB1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56BB" w:rsidRPr="00156DB1" w:rsidTr="00084816">
        <w:trPr>
          <w:jc w:val="center"/>
        </w:trPr>
        <w:tc>
          <w:tcPr>
            <w:tcW w:w="3828" w:type="dxa"/>
          </w:tcPr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40031" w:rsidRPr="00156DB1">
              <w:rPr>
                <w:rFonts w:ascii="Times New Roman" w:hAnsi="Times New Roman" w:cs="Times New Roman"/>
                <w:sz w:val="28"/>
                <w:szCs w:val="28"/>
              </w:rPr>
              <w:t>А. В. Морозов</w:t>
            </w: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>менеджменту і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підприємництва</w:t>
            </w: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 xml:space="preserve"> січня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>Т. П. Остапчук</w:t>
            </w: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3170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156DB1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156DB1" w:rsidTr="00084816">
        <w:trPr>
          <w:jc w:val="center"/>
        </w:trPr>
        <w:tc>
          <w:tcPr>
            <w:tcW w:w="9527" w:type="dxa"/>
            <w:gridSpan w:val="2"/>
          </w:tcPr>
          <w:p w:rsidR="000B56BB" w:rsidRPr="00156DB1" w:rsidRDefault="005773B5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ПИТАНЬ</w:t>
            </w:r>
            <w:r w:rsidR="000B56BB"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6BB" w:rsidRPr="00156DB1" w:rsidRDefault="00BE246B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БІЗНЕСОМ</w:t>
            </w:r>
          </w:p>
        </w:tc>
      </w:tr>
    </w:tbl>
    <w:p w:rsidR="004D4E14" w:rsidRPr="00156DB1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6"/>
        <w:gridCol w:w="9041"/>
      </w:tblGrid>
      <w:tr w:rsidR="005773B5" w:rsidRPr="00156DB1" w:rsidTr="005773B5">
        <w:tc>
          <w:tcPr>
            <w:tcW w:w="706" w:type="dxa"/>
            <w:vAlign w:val="center"/>
          </w:tcPr>
          <w:p w:rsidR="005773B5" w:rsidRPr="00156DB1" w:rsidRDefault="005773B5" w:rsidP="000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73B5" w:rsidRPr="00156DB1" w:rsidRDefault="005773B5" w:rsidP="000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41" w:type="dxa"/>
            <w:vAlign w:val="center"/>
          </w:tcPr>
          <w:p w:rsidR="005773B5" w:rsidRPr="00156DB1" w:rsidRDefault="005773B5" w:rsidP="000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Бізнес, спрямований на здійснення </w:t>
            </w:r>
            <w:r w:rsidRPr="00156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товарно-грошових, торговельно-обмінних операцій відноситься до: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1" w:type="dxa"/>
          </w:tcPr>
          <w:p w:rsidR="005773B5" w:rsidRPr="00156DB1" w:rsidRDefault="005773B5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Основною метою здійснення бізнесу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великого бізнесу згідно Господарського Кодексу України може бути віднесено тих суб’єктів, у яких: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малого бізнесу згідно Господарського Кодексу України може бути віднесено тих суб’єктів, у яких: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1" w:type="dxa"/>
          </w:tcPr>
          <w:p w:rsidR="005773B5" w:rsidRPr="00156DB1" w:rsidRDefault="005773B5" w:rsidP="00A4003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Група чинників, що формують стратегічну прибутковість (збитковість) підприємства і на які воно може здійснювати обмежений вплив шляхом встановлення ефективно діючих комунікацій,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факторів макросередовища не належать: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Модель 5 сил М. Портера використовується для аналізу: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PEST-аналіз розглядає фактори (знайти неправильну відповідь):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06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моделі 5 сил М. Портера не включається такий фактор, як: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2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41" w:type="dxa"/>
          </w:tcPr>
          <w:p w:rsidR="005773B5" w:rsidRPr="00156DB1" w:rsidRDefault="005773B5" w:rsidP="00D101B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6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амостійна, ініціативна діяльність осіб або груп осіб, пов’язана із виробництвом продукції, виконанням робіт, наданням послуг, здійснювана на свій страх і ризик, під свою майнову відповідальність і спрямована, головним чином, на одержання економічної вигоди у формі прибутку або в іншій формі – це: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2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41" w:type="dxa"/>
          </w:tcPr>
          <w:p w:rsidR="005773B5" w:rsidRPr="00156DB1" w:rsidRDefault="005773B5" w:rsidP="00D101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Сукупність факторів, які формують стратегічну прибутковість (збитковість) підприємства і щодо яких воно не має можливостей впливу взагалі, формують: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факторів мікросередовища не належать: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shd w:val="clear" w:color="auto" w:fill="FFFFFF"/>
              <w:tabs>
                <w:tab w:val="left" w:pos="90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До факторів зовнішнього середовища підприємства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Поєднання оцінки зовнішнього та внутрішнього середовища передбачає такий метод, як: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041" w:type="dxa"/>
          </w:tcPr>
          <w:p w:rsidR="005773B5" w:rsidRPr="00156DB1" w:rsidRDefault="005773B5" w:rsidP="002B30ED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-аналіз не включає наступну групу факторів: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6D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41" w:type="dxa"/>
          </w:tcPr>
          <w:p w:rsidR="005773B5" w:rsidRPr="00156DB1" w:rsidRDefault="005773B5" w:rsidP="006D1E9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Відкритість світових ринків характеризує таку сучасну тенденцію розвитку соціально-економічних відносин як: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D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5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156DB1">
              <w:rPr>
                <w:spacing w:val="2"/>
                <w:sz w:val="28"/>
                <w:szCs w:val="28"/>
              </w:rPr>
              <w:t>До факторів внутрішнього середовища підприємства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D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41" w:type="dxa"/>
          </w:tcPr>
          <w:p w:rsidR="005773B5" w:rsidRPr="00156DB1" w:rsidRDefault="005773B5" w:rsidP="006D1E9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Загроза з боку продукції інших сфер діяльності або галузей, що може задовольняти однакові потреби споживача, у моделі 5 сил М. Портера відноситься до: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D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41" w:type="dxa"/>
          </w:tcPr>
          <w:p w:rsidR="005773B5" w:rsidRPr="00156DB1" w:rsidRDefault="005773B5" w:rsidP="006D1E9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Облікова ставка НБУ відноситься до такої групи факторів: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D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41" w:type="dxa"/>
          </w:tcPr>
          <w:p w:rsidR="005773B5" w:rsidRPr="00156DB1" w:rsidRDefault="005773B5" w:rsidP="006D1E9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Існуюче у країні законодавство відноситься до такої групи факторів: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D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Основними організаційно-правовими формами, у яких може здійснюватися бізнес,</w:t>
            </w:r>
            <w:bookmarkStart w:id="0" w:name="_GoBack"/>
            <w:bookmarkEnd w:id="0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41" w:type="dxa"/>
          </w:tcPr>
          <w:p w:rsidR="005773B5" w:rsidRPr="00156DB1" w:rsidRDefault="005773B5" w:rsidP="006D1E9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Підприємницька діяльність здійснюється від свого імені при такій організаційно-правовій формі: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41" w:type="dxa"/>
          </w:tcPr>
          <w:p w:rsidR="005773B5" w:rsidRPr="00156DB1" w:rsidRDefault="005773B5" w:rsidP="006D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Першим етапом механізму створення власної справи лежить: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41" w:type="dxa"/>
          </w:tcPr>
          <w:p w:rsidR="005773B5" w:rsidRPr="00156DB1" w:rsidRDefault="005773B5" w:rsidP="006D1E9E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Офіційне визнання шляхом засвідчення державою факту створення або припинення юридичної особи, набуття або позбавлення статусу підприємця фізичною особою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41" w:type="dxa"/>
          </w:tcPr>
          <w:p w:rsidR="005773B5" w:rsidRPr="00156DB1" w:rsidRDefault="005773B5" w:rsidP="006E3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статутний капітал якого поділено на визначену кількість акцій однакової номінальної вартості, корпоративні права за якими посвідчуються акціями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41" w:type="dxa"/>
          </w:tcPr>
          <w:p w:rsidR="005773B5" w:rsidRPr="00156DB1" w:rsidRDefault="005773B5" w:rsidP="005C5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що має статутний капітал, поділений на частки, розмір яких визначається установчими документами, і несе відповідальність за своїми зобов’язаннями тільки своїм майном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41" w:type="dxa"/>
          </w:tcPr>
          <w:p w:rsidR="005773B5" w:rsidRPr="00156DB1" w:rsidRDefault="005773B5" w:rsidP="005C5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статутний капітал якого поділений на частки визначених установчими документами розмірів і яке несе відповідальність за своїми зобов’язаннями власним майном,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 – це: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6E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41" w:type="dxa"/>
          </w:tcPr>
          <w:p w:rsidR="005773B5" w:rsidRPr="00156DB1" w:rsidRDefault="005773B5" w:rsidP="005C5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Товариство,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зобов’язаннями товариства усім своїм майном – це:</w:t>
            </w:r>
          </w:p>
        </w:tc>
      </w:tr>
      <w:tr w:rsidR="005773B5" w:rsidRPr="005773B5" w:rsidTr="005773B5">
        <w:trPr>
          <w:trHeight w:val="282"/>
        </w:trPr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5773B5" w:rsidRPr="00156DB1" w:rsidTr="005773B5">
        <w:trPr>
          <w:trHeight w:val="282"/>
        </w:trPr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5773B5" w:rsidRPr="00156DB1" w:rsidTr="005773B5">
        <w:trPr>
          <w:trHeight w:val="282"/>
        </w:trPr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Реєстрація платником податку на додану вартість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третьої групи платників єдиного податку відносяться: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Державну реєстрацію мають право проводити (знайти неправильну відповідь):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Для реєстрації юридичної особи непотрібним є наступний документ: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другої групи платників єдиного податку відносяться: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Відповідно до чинного законодавства використання печатки є: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Розгляд документів, поданих для державної реєстрації та проведення інших реєстраційних дій, </w:t>
            </w:r>
            <w:bookmarkStart w:id="1" w:name="n699"/>
            <w:bookmarkEnd w:id="1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щодо юридичних осіб та фізичних осіб - підприємців здійснюється протягом: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Не мають право використовувати найману працю суб’єкти бізнесу, які: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Ставка єдиного соціального внеску, яку мають сплачувати суб’єкти бізнесу, становить: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Функція менеджменту, що передбачає визначення цілей підприємства та розробку заходів щодо їх досягнення: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2E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основних функцій менеджменту не належить: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Специфічний вид діяльності, спрямований на досягнення поставлених цілей шляхом забезпечення координації усіх ресурсів, наявних у розпорядженні суб’єкта підприємницької діяльності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Функція менеджменту, спрямована на розподіл завдань між працівниками та формування структури підприємства: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Вибір найважливіших напрямів технологічного процесу, визначення обсягів випуску продукції та надання послуг, організацію постачання, чітку організацію праці на кожному робочому місці, в бригаді, цеху, підрозділі, контроль за якістю продукції, своєчасний ремонт техніки та устаткування, модернізацію і реконструкцію виробництва здійснюється в межах: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Укладення контрактів (договорів та ін.) про постачання сировини, матеріалів, напівфабрикатів, комплектуючих деталей, їх зберігання, відправка продукції споживачам здійснюються у межах: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Стратегічне управління інноваційними процесами з метою визначення основних напрямів науково-технічної і виробничої діяльності здійснюється в межах: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Добір кадрів, підвищення їх кваліфікації, перепідготовка і розстановка, розробка кадрової політики є об’єктами управління: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 бюджетного і фінансового плану підприємства, акумулювання і розподіл фінансових ресурсів, складання обґрунтованих фінансових прогнозів здійснюються в межах: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спонукання працівників до високопродуктивної діяльності для задоволення своїх потреб і досягнення цілей організації здійснюється в рамках функції: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Наявність єдиного органу управління, який здійснює керівництво та управлінську діяльність з метою досягнення загальної мети організації передбачає принцип: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Побудову всієї системи управління на найновіших  досягненнях управлінської науки передбачає принцип: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Зосередження управлінських функцій у одного керівника передбачає така організаційна структура управління: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функціональних служб, які не мають безпосереднього впливу </w:t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виконавців, а формують управлінські рішення для лінійного керівника, надають методичну допомогу виконавцям, передбачає така організаційна структура управління: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B0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9041" w:type="dxa"/>
          </w:tcPr>
          <w:p w:rsidR="005773B5" w:rsidRPr="00156DB1" w:rsidRDefault="005773B5" w:rsidP="00B0292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Навколо певного виробництва формується організаційний підрозділ з автономією у здійсненні своєї повсякденної операційної діяльності. Дане твердження характерне для такої організаційної структури управління: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SMART-модель цілей передбачає, що вони повинні відповідати наступним вимогам (знайти неправильну відповідь):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вимог, яким мають відповідати стратегічні цілі, не відноситься:</w:t>
            </w:r>
          </w:p>
          <w:p w:rsidR="005773B5" w:rsidRPr="00156DB1" w:rsidRDefault="005773B5" w:rsidP="002E5FA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Тип управління, що передбачає орієнтацію на довгострокові цілі розвитку,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декомпозицію від цілей вищого порядку до цілей (заходів) нижчого порядку: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Чітко виражена мета існування підприємства на ринку: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Стратегією найвищого рівня є стратегія: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Стратегія, згідно з якою подальший розвиток бізнесу забезпечується за рахунок удосконалення діяльності в межах освоєного ринку функціонування – це: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Стратегія, згідно з якою подальший розвиток бізнесу забезпечується за рахунок диверсифікації діяльності та освоєння нових ринків збуту – це: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Стратегія, згідно з якою подальший розвиток бізнесу забезпечується за рахунок утворення нових структурних підрозділів, розвитку нових видів діяльності, застосування різноманітних форм інтеграції із своїми контрагентами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головної мети функціонування бізнесу визначається на такій стадії: 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Розташуйте рівні стратегій у правильному порядку: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Стратегія диверсифікації передбачає: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Об’єднання з постачальниками сировини передбачає наступна стратегія: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Об’єднання з торговельною мережею або з суб’єктами бізнесу, що функціонують на наступній стадії технологічного циклу виробництва та реалізації продукції, передбачає наступна стратегія: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Розширення діяльності за рахунок нових видів продукції, не пов’язаних з існуючим виробництвом, здійснюється в рамках наступної стратегії: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Змагання між товаровиробниками за споживача на певному ринку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Сильні сторони суб’єкта бізнесу, що визначають його успіх у конкурентній боротьбі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Карта стратегічних груп використовується для: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41" w:type="dxa"/>
          </w:tcPr>
          <w:p w:rsidR="005773B5" w:rsidRPr="00156DB1" w:rsidRDefault="005773B5" w:rsidP="008854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конкурентних стратегій за М. Портером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базується на досягненні переваг за рахунок зниження витрат на виробництво та ефективної цінової конкуренції,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базується на ефективному позиціонуванні та досягненні споживчої лояльності за рахунок вищої якості товару,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9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41" w:type="dxa"/>
          </w:tcPr>
          <w:p w:rsidR="005773B5" w:rsidRPr="00156DB1" w:rsidRDefault="005773B5" w:rsidP="002E5F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передбачає орієнтацію на конкретний ринковий сегмент,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1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41" w:type="dxa"/>
          </w:tcPr>
          <w:p w:rsidR="005773B5" w:rsidRPr="00156DB1" w:rsidRDefault="005773B5" w:rsidP="00912E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На використанні показників темпу зростання ринку та відносної частки ринку базується такий метод стратегічного аналізу: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1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41" w:type="dxa"/>
          </w:tcPr>
          <w:p w:rsidR="005773B5" w:rsidRPr="00156DB1" w:rsidRDefault="005773B5" w:rsidP="00912E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На використанні показників конкурентоспроможності підприємства та привабливості галузі базується такий метод стратегічного аналізу: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1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41" w:type="dxa"/>
          </w:tcPr>
          <w:p w:rsidR="005773B5" w:rsidRPr="00156DB1" w:rsidRDefault="005773B5" w:rsidP="00912E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Використання показників фінансової сили, конкурентних переваг, стабільності середовища та привабливості галузі передбачає такий метод: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За способом віднесення на продукцію розрізняють витрати: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Облік витрат на підприємстві ведуть на основі: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витрат за економічними елементами не відносяться: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Групування витрат за економічними елементами властиве для: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До непрямих належать витрати, які: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Зі збільшенням обсягу виробництва постійні витрати на одиницю продукції: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матеріальних витрат не відносяться: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витрат на утримання й експлуатацію виробничого обладнання відносять: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Вартість, що амортизується – це вартість: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Собівартість є основою для: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Собівартість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належать: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Зворотні відходи впливають на собівартість продукції наступним чином: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Витрати, пов’язані із здійсненням гарантійного ремонту, відносяться до: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8F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Витрати, що спрямовані на оплату аудиторських послуг, відносяться до: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Маркетингові цілі, які направлені на зростання прибутку, обсягів збуту продукції та розширення займаної частки ринку у довгостроковому періоді, відносяться до: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 поділу ринку, тобто поділ клієнтів організації на певні групи, які мають однакові потреби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складу «маркетинг-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мікс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не включається: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основу розробки стратегії маркетингу покладено: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Реклама як інструмент маркетингу відноситься до такої складової «маркетинг-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мікс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критеріїв сегментації ринку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Маркетинговий підхід, що передбачає орієнтацію на один цільовий сегмент ринку,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Орієнтація на широкий споживчий ринок із використанням одного базового комплексу маркетингу передбачає наступний маркетинговий підхід: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Вираження маркетингових цілей через конкретні показники та цифрові значення характеризує таку вимогу до їх формування як: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SMART-модель цілей передбачає, що вони повинні відповідати наступним вимогам (знайти неправильну відповідь):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Сегментація не може здійснюватися за таким критерієм: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Метод прогнозування обсягів продажу, що передбачає дослідження існуючих тенденцій на ринку та їх продовження у майбутніх періодах,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економічних критеріїв сегментації споживачів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Сегментація за способом </w:t>
            </w: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виконання зазначених функцій (потреб) визначається як сегментація за: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Канали розподілу характеризують такий компонент маркетинг-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міксу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основних показників ефективності маркетингової діяльності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Прейскуранти та система знижок визначаються у рамках такого компоненту маркетинг-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міксу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Характеристики товарів та наявність 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післяпродажного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обслуговування визначаються у такому компоненті маркетинг-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міксу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ситуації, коли переважне число потенційних покупців на даному ринку відштовхує товар незалежно від його якості, застосовується стратегія: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5F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відновлення попиту, що знижується, застосовується стратегія: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Сукупність взаємопов’язаних дій людей, засобів праці та природи, необхідних для виготовлення продукції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У виробничому плані бізнес-плану відображається (знайти неправильну відповідь):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Плановий обсяг виробництва визначається на основі: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 необхідних матеріальних ресурсів наводиться у такому розділі бізнес-плану як: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Основні етапи виробництва продукції відображаються у: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041" w:type="dxa"/>
          </w:tcPr>
          <w:p w:rsidR="005773B5" w:rsidRPr="00156DB1" w:rsidRDefault="005773B5" w:rsidP="004F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Основне завдання виробничого плану – довести, що фірма: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основних завдань виробничої стратегії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основних компонентів виробничої діяльності не відносяться: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Вартісною оцінкою ефективності виробничої діяльності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призначенням виділяють такі види виробничих процесів: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041" w:type="dxa"/>
          </w:tcPr>
          <w:p w:rsidR="005773B5" w:rsidRPr="00156DB1" w:rsidRDefault="005773B5" w:rsidP="00A142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перебігом в часі виділяють такі види виробничих процесів: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tabs>
                <w:tab w:val="left" w:pos="90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показників оцінки поточного стану обладнання відносяться: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показників руху технічних ресурсів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Коефіцієнт зносу визначається як відношення: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041" w:type="dxa"/>
          </w:tcPr>
          <w:p w:rsidR="005773B5" w:rsidRPr="00156DB1" w:rsidRDefault="005773B5" w:rsidP="00F034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B1">
              <w:rPr>
                <w:rFonts w:ascii="Times New Roman" w:hAnsi="Times New Roman"/>
                <w:sz w:val="28"/>
                <w:szCs w:val="28"/>
              </w:rPr>
              <w:t>Обсяг виробництва в звітному році склав 1800 тис. грн., середньорічна вартість оборотних активів – 300 тис. грн. Коефіцієнт оборотності оборотних активів складе: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9041" w:type="dxa"/>
          </w:tcPr>
          <w:p w:rsidR="005773B5" w:rsidRPr="00156DB1" w:rsidRDefault="005773B5" w:rsidP="00F0346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56DB1">
              <w:rPr>
                <w:rFonts w:ascii="Times New Roman" w:hAnsi="Times New Roman"/>
                <w:sz w:val="28"/>
                <w:szCs w:val="28"/>
                <w:lang w:eastAsia="uk-UA"/>
              </w:rPr>
              <w:t>Розрахуйте вартість основних засобів, яка амортизується, якщо первісна вартість становить 390 тис. грн., а ліквідаційна вартість 50 тис. грн.: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56DB1">
              <w:rPr>
                <w:rFonts w:ascii="Times New Roman" w:hAnsi="Times New Roman"/>
                <w:sz w:val="28"/>
                <w:szCs w:val="28"/>
                <w:lang w:eastAsia="uk-UA"/>
              </w:rPr>
              <w:t>Визначте показник фондомісткості, якщо показник фондовіддачі становить 2,5: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041" w:type="dxa"/>
          </w:tcPr>
          <w:p w:rsidR="005773B5" w:rsidRPr="00156DB1" w:rsidRDefault="005773B5" w:rsidP="00F0346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56DB1">
              <w:rPr>
                <w:rFonts w:ascii="Times New Roman" w:hAnsi="Times New Roman"/>
                <w:sz w:val="28"/>
                <w:szCs w:val="28"/>
                <w:lang w:eastAsia="uk-UA"/>
              </w:rPr>
              <w:t>Фондовіддача підприємства у звітному періоді становила 2,0 за середньорічної вартості основних засобів 850 тис. грн. Визначте величину чистого доходу підприємства: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98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041" w:type="dxa"/>
          </w:tcPr>
          <w:p w:rsidR="005773B5" w:rsidRPr="00156DB1" w:rsidRDefault="005773B5" w:rsidP="00F034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B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Первісна вартість основних виробничих засобів 332 тис. грн., нарахована за період експлуатації сума амортизаційних відрахувань – 48 тис. грн. Коефіцієнт зносу становить: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Якісними характеристиками працівників підприємства є: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Персонал підприємства являє собою: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041" w:type="dxa"/>
          </w:tcPr>
          <w:p w:rsidR="005773B5" w:rsidRPr="00156DB1" w:rsidRDefault="005773B5" w:rsidP="0098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Працівники, які приймають безпосередню участь у виробничому процесі підприємства, виконують роботи та надають послуги, відносяться до наступної категорії персоналу: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041" w:type="dxa"/>
          </w:tcPr>
          <w:p w:rsidR="005773B5" w:rsidRPr="00156DB1" w:rsidRDefault="005773B5" w:rsidP="0098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Особи з високим рівнем освіти та достатньою професійною підготовкою, які безпосередньо зайняті управлінням, відносяться до наступної категорії персоналу: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041" w:type="dxa"/>
          </w:tcPr>
          <w:p w:rsidR="005773B5" w:rsidRPr="00156DB1" w:rsidRDefault="005773B5" w:rsidP="00464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Працівники, що здійснюють підготовку та оформлення документації, облік і контроль за діяльністю підприємства, господарське обслуговування відносяться до наступної категорії персоналу: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впливу на формування персоналу підприємства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 впливу на формування персоналу підприємства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041" w:type="dxa"/>
          </w:tcPr>
          <w:p w:rsidR="005773B5" w:rsidRPr="00156DB1" w:rsidRDefault="005773B5" w:rsidP="00A06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Метод планування персоналу, суть якого полягає в перенесенні минулих тенденцій, змін у величині сукупної робочої сили та її структури на майбутнє,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принципів, ідей, вимог, що визначають основні напрями роботи з персоналом, її форми і методи складає: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цілей кадрової політики підприємства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показників ефективності кадрової політики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041" w:type="dxa"/>
          </w:tcPr>
          <w:p w:rsidR="005773B5" w:rsidRPr="00156DB1" w:rsidRDefault="005773B5" w:rsidP="0098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Опис управлінської складової проекту відображається у наступному розділі бізнес-плану: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041" w:type="dxa"/>
          </w:tcPr>
          <w:p w:rsidR="005773B5" w:rsidRPr="00156DB1" w:rsidRDefault="005773B5" w:rsidP="0098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Опис чисельності та основних характеристик працівників, задіяних у виробництві, наводиться у наступному розділі бізнес-плану: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форм залучення працівників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E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форм оплати праці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E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041" w:type="dxa"/>
          </w:tcPr>
          <w:p w:rsidR="005773B5" w:rsidRPr="00156DB1" w:rsidRDefault="005773B5" w:rsidP="00E463E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оплати праці, що передбачає встановлення розцінки за одиницю продукції, а також нарахування певного відсотка (або розміру) премії у випадку виконання/  перевиконання плану,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E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041" w:type="dxa"/>
          </w:tcPr>
          <w:p w:rsidR="005773B5" w:rsidRPr="00156DB1" w:rsidRDefault="005773B5" w:rsidP="00E463E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оплати праці, що передбачає встановлення розцінки за одиницю продукції, а також підвищеної розцінки за одиницю продукції, виготовлену понад норму,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153.</w:t>
            </w:r>
          </w:p>
        </w:tc>
        <w:tc>
          <w:tcPr>
            <w:tcW w:w="9041" w:type="dxa"/>
          </w:tcPr>
          <w:p w:rsidR="005773B5" w:rsidRPr="00156DB1" w:rsidRDefault="005773B5" w:rsidP="00E463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56DB1">
              <w:rPr>
                <w:rFonts w:ascii="Times New Roman" w:hAnsi="Times New Roman"/>
                <w:sz w:val="28"/>
                <w:szCs w:val="28"/>
                <w:lang w:eastAsia="uk-UA"/>
              </w:rPr>
              <w:t>Визначити виробіток на одного працюючого, якщо обсяг виготовленої продукції у звітному періоді становить 360,0 тис. грн., а середньооблікова чисельність працівників – 16 осіб: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041" w:type="dxa"/>
          </w:tcPr>
          <w:p w:rsidR="005773B5" w:rsidRPr="00156DB1" w:rsidRDefault="005773B5" w:rsidP="00E463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B1">
              <w:rPr>
                <w:rFonts w:ascii="Times New Roman" w:hAnsi="Times New Roman"/>
                <w:color w:val="000000"/>
                <w:sz w:val="28"/>
                <w:szCs w:val="28"/>
              </w:rPr>
              <w:t>Підприємство мало середньооблікову чисельність штатних працівників облікового складу: у січні – 620 осіб, у лютому – 640, у березні – 690. Середньооблікова чисельність працівників у першому кварталі складе: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46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041" w:type="dxa"/>
          </w:tcPr>
          <w:p w:rsidR="005773B5" w:rsidRPr="00156DB1" w:rsidRDefault="005773B5" w:rsidP="00E463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56DB1">
              <w:rPr>
                <w:rFonts w:ascii="Times New Roman" w:hAnsi="Times New Roman"/>
                <w:sz w:val="28"/>
                <w:szCs w:val="28"/>
                <w:lang w:eastAsia="uk-UA"/>
              </w:rPr>
              <w:t>Визначити продуктивність праці працівників підприємства у 2018</w:t>
            </w:r>
            <w:r w:rsidRPr="00156DB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6DB1">
              <w:rPr>
                <w:rFonts w:ascii="Times New Roman" w:hAnsi="Times New Roman"/>
                <w:sz w:val="28"/>
                <w:szCs w:val="28"/>
                <w:lang w:eastAsia="uk-UA"/>
              </w:rPr>
              <w:t>році, якщо чистий доход (виручка) від реалізації продукції (товарів, робіт, послуг) склав 1200000 грн., а середньооблікова чисельність працівників 200 осіб: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Основною метою фінансового менеджменту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основних завдань фінансового менеджменту не відносяться: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z w:val="28"/>
                <w:szCs w:val="28"/>
              </w:rPr>
              <w:t>Ключовим чинником, що обумовлює зміну вартості грошей в часі,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z w:val="28"/>
                <w:szCs w:val="28"/>
              </w:rPr>
              <w:t>Метод дисконтування передбачає: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 </w:t>
            </w:r>
            <w:proofErr w:type="spellStart"/>
            <w:r w:rsidRPr="00156DB1">
              <w:rPr>
                <w:rFonts w:ascii="Times New Roman" w:hAnsi="Times New Roman" w:cs="Times New Roman"/>
                <w:bCs/>
                <w:sz w:val="28"/>
                <w:szCs w:val="28"/>
              </w:rPr>
              <w:t>компаундирування</w:t>
            </w:r>
            <w:proofErr w:type="spellEnd"/>
            <w:r w:rsidRPr="00156D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передбачає: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Бізнес-інкубатори </w:t>
            </w:r>
            <w:r w:rsidRPr="00156DB1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6D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фінансового менеджменту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Оцінка ефективності капіталовкладень і забезпечення їх фінансування на найбільш вигідній основі відноситься до завдань: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складових фінансового менеджменту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об’єктів фінансового менеджменту на підприємстві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товарів та послуг, які можна обміняти на одиницю грошей; купівельна спроможність одиниці грошей характеризує: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Сума майбутніх грошових надходжень, зведених з урахуванням певної процентної ставки до теперішнього періоду з поправкою на ризик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Сума інвестованих у даний час коштів, в яку вони перетворяться через певний період часу з урахуванням певної ставки процента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PV </w:t>
            </w: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FV </w:t>
            </w:r>
            <w:r w:rsidRPr="00156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z w:val="28"/>
                <w:szCs w:val="28"/>
              </w:rPr>
              <w:t>Ключовим чинником, що обумовлює зміну вартості грошей в часі, є: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shd w:val="clear" w:color="auto" w:fill="FFFFFF"/>
              <w:tabs>
                <w:tab w:val="left" w:pos="61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Модель фінансування, за якої необоротні активи та постійна частина оборотних формуються за рахунок довгострокових пасивів, а варіаційна частина оборотних активів – за рахунок короткострокових пасивів,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shd w:val="clear" w:color="auto" w:fill="FFFFFF"/>
              <w:tabs>
                <w:tab w:val="left" w:pos="60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Модель фінансування, за якої необоротні активи формуються за рахунок довгострокових пасивів, а оборотні активи за рахунок короткострокових пасивів,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shd w:val="clear" w:color="auto" w:fill="FFFFFF"/>
              <w:tabs>
                <w:tab w:val="left" w:pos="60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Модель фінансування, за якої необоротні активи, постійна частина та половина варіаційної частини оборотних активів формуються за рахунок довгострокових пасивів,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shd w:val="clear" w:color="auto" w:fill="FFFFFF"/>
              <w:tabs>
                <w:tab w:val="left" w:pos="60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Модель фінансування, за якої необоротні та оборотні активи формуються за рахунок довгострокових пасивів, називається: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iCs/>
                <w:sz w:val="28"/>
                <w:szCs w:val="28"/>
              </w:rPr>
              <w:t>Відношення суми доходу, виплаченого за фіксований інтервал часу, до величини позики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z w:val="28"/>
                <w:szCs w:val="28"/>
              </w:rPr>
              <w:t>До власних фінансових ресурсів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z w:val="28"/>
                <w:szCs w:val="28"/>
              </w:rPr>
              <w:t>До залучених фінансових ресурсів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Прибуток, що надходить в розпорядження підприємства після сплати всіх податків, називають: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Власний капітал підприємства становить 750 тис. грн., залучений – 550 тис. грн. Коефіцієнт автономії при цьому складає: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Власний капітал становить 500 тис. грн., залучений – 400 тис. грн., вартість необоротних активів – 350 тис. грн. Коефіцієнт забезпеченості власними засобами при цьому складе: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методів оптимізації структури капіталу не належить: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shd w:val="clear" w:color="auto" w:fill="FFFFFF"/>
              <w:tabs>
                <w:tab w:val="left" w:pos="590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Ефект фінансового левериджу становить 15 %. Це означає: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shd w:val="clear" w:color="auto" w:fill="FFFFFF"/>
              <w:tabs>
                <w:tab w:val="left" w:pos="600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Збільшення частки залученого капіталу у структурі фінансових ресурсів здійснює наступний вплив на ефект фінансового левериджу: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shd w:val="clear" w:color="auto" w:fill="FFFFFF"/>
              <w:tabs>
                <w:tab w:val="left" w:pos="600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Зростання середньої відсоткової ставки за користування залученим капіталом здійснює наступний вплив на ефект фінансового левериджу: 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shd w:val="clear" w:color="auto" w:fill="FFFFFF"/>
              <w:tabs>
                <w:tab w:val="left" w:pos="600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При оптимізації за критерієм середньозваженої вартості капіталу найкращим варіантом структури фінансових ресурсів є такий, що: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shd w:val="clear" w:color="auto" w:fill="FFFFFF"/>
              <w:tabs>
                <w:tab w:val="left" w:pos="600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Оптимізація за критерієм фінансового ризику передбачає дослідження: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7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</w:rPr>
            </w:pPr>
            <w:r w:rsidRPr="00156DB1">
              <w:rPr>
                <w:sz w:val="28"/>
                <w:szCs w:val="28"/>
              </w:rPr>
              <w:t>Основним об’єктом венчурного інвестування є: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Критерієм поділу показників оцінки ефективності інвестиційної діяльності на облікові та дисконтовані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показників, що ґрунтуються на облікових оцінках,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194. 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показників, що ґрунтуються на дисконтованих оцінках,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Співвідношенням між 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та 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визначається: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196. 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Різниця між 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і 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становить наступний показник: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pStyle w:val="a7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56DB1">
              <w:rPr>
                <w:sz w:val="28"/>
                <w:szCs w:val="28"/>
              </w:rPr>
              <w:t>Чистий грошовий потік визначається: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C3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041" w:type="dxa"/>
          </w:tcPr>
          <w:p w:rsidR="005773B5" w:rsidRPr="00156DB1" w:rsidRDefault="005773B5" w:rsidP="00C30A1B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Показник, що відображає період часу, за який продисконтовані доходи повністю 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покриють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продисконтовані витрати: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Чиста приведена вартість визначається за формулою: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Дисконтований період окупності визначається за формулою: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Коефіцієнт дисконтування визначається за формулою: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Знайти чисту приведену вартість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Знайти індекс доходності проекту </w:t>
            </w:r>
            <w:proofErr w:type="spellStart"/>
            <w:r w:rsidRPr="00156D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проекту</w:t>
            </w:r>
            <w:proofErr w:type="spellEnd"/>
            <w:r w:rsidRPr="00156DB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Короткий опис проекту відображається у наступному розділі бізнес-плану: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розділів бізнес-плану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розділі: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Інтереси власника капіталу відображає показник: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Ретельно підготовлений плановий документ, який розкриває усі сторони будь-якого </w:t>
            </w:r>
            <w:proofErr w:type="spellStart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започатковуваного</w:t>
            </w:r>
            <w:proofErr w:type="spellEnd"/>
            <w:r w:rsidRPr="00156DB1">
              <w:rPr>
                <w:rFonts w:ascii="Times New Roman" w:hAnsi="Times New Roman" w:cs="Times New Roman"/>
                <w:sz w:val="28"/>
                <w:szCs w:val="28"/>
              </w:rPr>
              <w:t xml:space="preserve"> комерційного проекту, -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Останнім етапом бізнес-планування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Технологію виробництва продукції наведено у такому розділі: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Що не розглядається у «Плані маркетингу»?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джерел зовнішньої інформації при складанні бізнес-плану належать: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Резюме складається: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розділі: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Технологію виробництва продукції наведено у такому розділі: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Виробничий план формується на основі: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Потреба у обладнанні встановлюється на основі: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Основним користувачем бізнес-плану є: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Ризик – це: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Ризик,</w:t>
            </w: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пов’язаний з невиконанням підприємством своїх планів і зобов'язань по виробництву продукції, товарів, послуг, інших видів виробничої діяльності в результаті несприятливого впливу зовнішнього середовища,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Ризик, що виникає в процесі реалізації товарів і послуг, вироблених або закуплених підприємцем, – це: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Ризик, </w:t>
            </w: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пов'язаний з можливістю невиконання фірмою своїх фінансових зобов'язань, - це: 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Ендогенні ризики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Екзогенні ризики –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041" w:type="dxa"/>
          </w:tcPr>
          <w:p w:rsidR="005773B5" w:rsidRPr="00156DB1" w:rsidRDefault="005773B5" w:rsidP="0049387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Зберігання відповідальності за ризик, готовність і спроможність покрити всі можливі збитки за рахунок власних коштів передбачає такий метод управління: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За можливістю прогнозування виділяють кризи: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041" w:type="dxa"/>
          </w:tcPr>
          <w:p w:rsidR="005773B5" w:rsidRPr="00156DB1" w:rsidRDefault="005773B5" w:rsidP="00771C7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моделей діагностики ймовірності банкрутства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041" w:type="dxa"/>
          </w:tcPr>
          <w:p w:rsidR="005773B5" w:rsidRPr="00156DB1" w:rsidRDefault="005773B5" w:rsidP="008E22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Підсистема загального менеджменту підприємства, що спрямована на подолання кризових явищ та забезпечення стабільного та успішного розвитку суб’єкта господарювання, - це: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функцій антикризового управління не належить: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До суб’єктів антикризового управління не відноситься: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041" w:type="dxa"/>
          </w:tcPr>
          <w:p w:rsidR="005773B5" w:rsidRPr="00156DB1" w:rsidRDefault="005773B5" w:rsidP="008E22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Розширення сфери діяльності в будь-якому напрямку, щоб не бути залежним від одного ринку представляє собою такий інструмент антикризового управління як: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49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041" w:type="dxa"/>
          </w:tcPr>
          <w:p w:rsidR="005773B5" w:rsidRPr="00156DB1" w:rsidRDefault="005773B5" w:rsidP="008E22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Сукупність усіх можливих заходів, які здатні привести підприємство до фінансового оздоровлення представляє собою такий інструмент антикризового управління як:</w:t>
            </w:r>
          </w:p>
        </w:tc>
      </w:tr>
      <w:tr w:rsidR="005773B5" w:rsidRPr="00156DB1" w:rsidTr="005773B5">
        <w:tc>
          <w:tcPr>
            <w:tcW w:w="706" w:type="dxa"/>
          </w:tcPr>
          <w:p w:rsidR="005773B5" w:rsidRPr="00156DB1" w:rsidRDefault="005773B5" w:rsidP="00771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визначення точки беззбитковості використовують методи:</w:t>
            </w:r>
          </w:p>
        </w:tc>
      </w:tr>
      <w:tr w:rsidR="005773B5" w:rsidRPr="005773B5" w:rsidTr="005773B5">
        <w:tc>
          <w:tcPr>
            <w:tcW w:w="706" w:type="dxa"/>
          </w:tcPr>
          <w:p w:rsidR="005773B5" w:rsidRPr="00156DB1" w:rsidRDefault="005773B5" w:rsidP="00771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беззбитковості ґрунтується на дослідженні наступних показників діяльності підприємства (знайти неправильну відповідь):</w:t>
            </w:r>
          </w:p>
        </w:tc>
      </w:tr>
      <w:tr w:rsidR="005773B5" w:rsidRPr="00733C51" w:rsidTr="005773B5">
        <w:tc>
          <w:tcPr>
            <w:tcW w:w="706" w:type="dxa"/>
          </w:tcPr>
          <w:p w:rsidR="005773B5" w:rsidRPr="00156DB1" w:rsidRDefault="005773B5" w:rsidP="00771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041" w:type="dxa"/>
          </w:tcPr>
          <w:p w:rsidR="005773B5" w:rsidRPr="00156DB1" w:rsidRDefault="005773B5" w:rsidP="00577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визначення точки беззбитковості, що ґрунтується на вирішенні рівняння, називається:</w:t>
            </w:r>
          </w:p>
        </w:tc>
      </w:tr>
    </w:tbl>
    <w:p w:rsidR="000A3FDD" w:rsidRPr="009F78D9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3FDD" w:rsidRPr="009F78D9" w:rsidSect="00111B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7A" w:rsidRDefault="00D73A7A" w:rsidP="00187071">
      <w:pPr>
        <w:spacing w:after="0" w:line="240" w:lineRule="auto"/>
      </w:pPr>
      <w:r>
        <w:separator/>
      </w:r>
    </w:p>
  </w:endnote>
  <w:endnote w:type="continuationSeparator" w:id="0">
    <w:p w:rsidR="00D73A7A" w:rsidRDefault="00D73A7A" w:rsidP="001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7A" w:rsidRDefault="00D73A7A" w:rsidP="00187071">
      <w:pPr>
        <w:spacing w:after="0" w:line="240" w:lineRule="auto"/>
      </w:pPr>
      <w:r>
        <w:separator/>
      </w:r>
    </w:p>
  </w:footnote>
  <w:footnote w:type="continuationSeparator" w:id="0">
    <w:p w:rsidR="00D73A7A" w:rsidRDefault="00D73A7A" w:rsidP="0018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F"/>
    <w:rsid w:val="00042B65"/>
    <w:rsid w:val="00046A75"/>
    <w:rsid w:val="0005021A"/>
    <w:rsid w:val="000504FE"/>
    <w:rsid w:val="0005466D"/>
    <w:rsid w:val="000650AD"/>
    <w:rsid w:val="000808F0"/>
    <w:rsid w:val="00084816"/>
    <w:rsid w:val="0008541D"/>
    <w:rsid w:val="00085956"/>
    <w:rsid w:val="00090734"/>
    <w:rsid w:val="000A3FDD"/>
    <w:rsid w:val="000B3BBC"/>
    <w:rsid w:val="000B4B80"/>
    <w:rsid w:val="000B56BB"/>
    <w:rsid w:val="000C3E82"/>
    <w:rsid w:val="000F710F"/>
    <w:rsid w:val="00100E79"/>
    <w:rsid w:val="00107DDA"/>
    <w:rsid w:val="00110470"/>
    <w:rsid w:val="00111B94"/>
    <w:rsid w:val="00111EB3"/>
    <w:rsid w:val="001139F2"/>
    <w:rsid w:val="00122295"/>
    <w:rsid w:val="00142AD5"/>
    <w:rsid w:val="0015134F"/>
    <w:rsid w:val="00156DB1"/>
    <w:rsid w:val="00180D4F"/>
    <w:rsid w:val="001841F2"/>
    <w:rsid w:val="00187071"/>
    <w:rsid w:val="00193CF7"/>
    <w:rsid w:val="001A7C7D"/>
    <w:rsid w:val="001B75E8"/>
    <w:rsid w:val="001D2224"/>
    <w:rsid w:val="001F63CF"/>
    <w:rsid w:val="0023209F"/>
    <w:rsid w:val="002329A3"/>
    <w:rsid w:val="002529C4"/>
    <w:rsid w:val="002551A4"/>
    <w:rsid w:val="0026278F"/>
    <w:rsid w:val="00287A12"/>
    <w:rsid w:val="00292525"/>
    <w:rsid w:val="00293AC3"/>
    <w:rsid w:val="002A61E9"/>
    <w:rsid w:val="002B30ED"/>
    <w:rsid w:val="002C296A"/>
    <w:rsid w:val="002C3709"/>
    <w:rsid w:val="002D4922"/>
    <w:rsid w:val="002D6CBA"/>
    <w:rsid w:val="002E5FA4"/>
    <w:rsid w:val="002E6C83"/>
    <w:rsid w:val="00307A0F"/>
    <w:rsid w:val="003170C0"/>
    <w:rsid w:val="0032000F"/>
    <w:rsid w:val="003275C3"/>
    <w:rsid w:val="00334564"/>
    <w:rsid w:val="00360000"/>
    <w:rsid w:val="00362B62"/>
    <w:rsid w:val="00372098"/>
    <w:rsid w:val="00381792"/>
    <w:rsid w:val="003A0C05"/>
    <w:rsid w:val="003A4190"/>
    <w:rsid w:val="003A44DC"/>
    <w:rsid w:val="003A6808"/>
    <w:rsid w:val="003A6F53"/>
    <w:rsid w:val="003E03AE"/>
    <w:rsid w:val="003F3E39"/>
    <w:rsid w:val="003F6FC5"/>
    <w:rsid w:val="00405268"/>
    <w:rsid w:val="00415DB1"/>
    <w:rsid w:val="00437558"/>
    <w:rsid w:val="00461873"/>
    <w:rsid w:val="00464A26"/>
    <w:rsid w:val="0046704D"/>
    <w:rsid w:val="00467C95"/>
    <w:rsid w:val="00471ED0"/>
    <w:rsid w:val="004757EC"/>
    <w:rsid w:val="00493871"/>
    <w:rsid w:val="004A5085"/>
    <w:rsid w:val="004B0209"/>
    <w:rsid w:val="004D4E14"/>
    <w:rsid w:val="004E199D"/>
    <w:rsid w:val="004E248B"/>
    <w:rsid w:val="004F17A6"/>
    <w:rsid w:val="004F23A8"/>
    <w:rsid w:val="005062DA"/>
    <w:rsid w:val="005133C5"/>
    <w:rsid w:val="00525798"/>
    <w:rsid w:val="00535A5C"/>
    <w:rsid w:val="00537D0D"/>
    <w:rsid w:val="00541BD5"/>
    <w:rsid w:val="00546D93"/>
    <w:rsid w:val="00550A95"/>
    <w:rsid w:val="00551986"/>
    <w:rsid w:val="00553B1A"/>
    <w:rsid w:val="00564991"/>
    <w:rsid w:val="005773B5"/>
    <w:rsid w:val="0058492E"/>
    <w:rsid w:val="0059149C"/>
    <w:rsid w:val="005A50DE"/>
    <w:rsid w:val="005A5DA7"/>
    <w:rsid w:val="005A6397"/>
    <w:rsid w:val="005B6841"/>
    <w:rsid w:val="005C5990"/>
    <w:rsid w:val="005D0E3D"/>
    <w:rsid w:val="005D12F7"/>
    <w:rsid w:val="005F2B13"/>
    <w:rsid w:val="00600E6B"/>
    <w:rsid w:val="00603830"/>
    <w:rsid w:val="00607415"/>
    <w:rsid w:val="00610ACA"/>
    <w:rsid w:val="00617ADF"/>
    <w:rsid w:val="00620632"/>
    <w:rsid w:val="006355B4"/>
    <w:rsid w:val="00635D25"/>
    <w:rsid w:val="00641A33"/>
    <w:rsid w:val="00675459"/>
    <w:rsid w:val="006864B0"/>
    <w:rsid w:val="00692CE6"/>
    <w:rsid w:val="006947DC"/>
    <w:rsid w:val="006A30EA"/>
    <w:rsid w:val="006A6D64"/>
    <w:rsid w:val="006B63B4"/>
    <w:rsid w:val="006C2CC5"/>
    <w:rsid w:val="006D1E9E"/>
    <w:rsid w:val="006E35D3"/>
    <w:rsid w:val="006F19A8"/>
    <w:rsid w:val="006F481E"/>
    <w:rsid w:val="006F621B"/>
    <w:rsid w:val="006F72E2"/>
    <w:rsid w:val="00713B1F"/>
    <w:rsid w:val="0072322A"/>
    <w:rsid w:val="00726267"/>
    <w:rsid w:val="00733C51"/>
    <w:rsid w:val="00741DEA"/>
    <w:rsid w:val="00752229"/>
    <w:rsid w:val="00754AD3"/>
    <w:rsid w:val="007622BC"/>
    <w:rsid w:val="00763FA9"/>
    <w:rsid w:val="00771430"/>
    <w:rsid w:val="00771C7A"/>
    <w:rsid w:val="0077253A"/>
    <w:rsid w:val="0079212D"/>
    <w:rsid w:val="007C10BE"/>
    <w:rsid w:val="007C3E5B"/>
    <w:rsid w:val="007C7382"/>
    <w:rsid w:val="007E3EA3"/>
    <w:rsid w:val="007E6272"/>
    <w:rsid w:val="007E7C7A"/>
    <w:rsid w:val="007F13D6"/>
    <w:rsid w:val="007F21EF"/>
    <w:rsid w:val="008254C7"/>
    <w:rsid w:val="0083039E"/>
    <w:rsid w:val="008332C2"/>
    <w:rsid w:val="00841588"/>
    <w:rsid w:val="00847207"/>
    <w:rsid w:val="008534A3"/>
    <w:rsid w:val="00862045"/>
    <w:rsid w:val="00875E9E"/>
    <w:rsid w:val="00882189"/>
    <w:rsid w:val="00885441"/>
    <w:rsid w:val="00885802"/>
    <w:rsid w:val="0088625D"/>
    <w:rsid w:val="00887266"/>
    <w:rsid w:val="00891D3B"/>
    <w:rsid w:val="00894055"/>
    <w:rsid w:val="00897E5E"/>
    <w:rsid w:val="008A27B5"/>
    <w:rsid w:val="008B7F51"/>
    <w:rsid w:val="008C4A52"/>
    <w:rsid w:val="008D2EDD"/>
    <w:rsid w:val="008D3E76"/>
    <w:rsid w:val="008E2293"/>
    <w:rsid w:val="008F45C6"/>
    <w:rsid w:val="008F5E87"/>
    <w:rsid w:val="00901DA2"/>
    <w:rsid w:val="00912E30"/>
    <w:rsid w:val="00920324"/>
    <w:rsid w:val="0094422C"/>
    <w:rsid w:val="00950453"/>
    <w:rsid w:val="009622A7"/>
    <w:rsid w:val="009631D7"/>
    <w:rsid w:val="00963C49"/>
    <w:rsid w:val="00964B72"/>
    <w:rsid w:val="00980DB8"/>
    <w:rsid w:val="00993BF6"/>
    <w:rsid w:val="009968A1"/>
    <w:rsid w:val="009B30B0"/>
    <w:rsid w:val="009C2323"/>
    <w:rsid w:val="009F78D9"/>
    <w:rsid w:val="00A02B13"/>
    <w:rsid w:val="00A02DF1"/>
    <w:rsid w:val="00A050F9"/>
    <w:rsid w:val="00A060BA"/>
    <w:rsid w:val="00A131C5"/>
    <w:rsid w:val="00A14239"/>
    <w:rsid w:val="00A14346"/>
    <w:rsid w:val="00A26B63"/>
    <w:rsid w:val="00A40031"/>
    <w:rsid w:val="00A432F3"/>
    <w:rsid w:val="00A543D2"/>
    <w:rsid w:val="00AA7934"/>
    <w:rsid w:val="00AC11BF"/>
    <w:rsid w:val="00AF3275"/>
    <w:rsid w:val="00B02925"/>
    <w:rsid w:val="00B05634"/>
    <w:rsid w:val="00B1236B"/>
    <w:rsid w:val="00B2537A"/>
    <w:rsid w:val="00B26615"/>
    <w:rsid w:val="00B273C4"/>
    <w:rsid w:val="00B27A24"/>
    <w:rsid w:val="00B30620"/>
    <w:rsid w:val="00B7234D"/>
    <w:rsid w:val="00B80D3C"/>
    <w:rsid w:val="00B82C48"/>
    <w:rsid w:val="00B83509"/>
    <w:rsid w:val="00B8470A"/>
    <w:rsid w:val="00BA018F"/>
    <w:rsid w:val="00BA3676"/>
    <w:rsid w:val="00BA73E9"/>
    <w:rsid w:val="00BB3C18"/>
    <w:rsid w:val="00BB6D06"/>
    <w:rsid w:val="00BC2FA9"/>
    <w:rsid w:val="00BC55EF"/>
    <w:rsid w:val="00BC7FC0"/>
    <w:rsid w:val="00BD4295"/>
    <w:rsid w:val="00BE246B"/>
    <w:rsid w:val="00BE2493"/>
    <w:rsid w:val="00C2431A"/>
    <w:rsid w:val="00C30A1B"/>
    <w:rsid w:val="00C51268"/>
    <w:rsid w:val="00C51CFC"/>
    <w:rsid w:val="00C63205"/>
    <w:rsid w:val="00C766A2"/>
    <w:rsid w:val="00C7794F"/>
    <w:rsid w:val="00CA2CB3"/>
    <w:rsid w:val="00CB389F"/>
    <w:rsid w:val="00CB609D"/>
    <w:rsid w:val="00CC1217"/>
    <w:rsid w:val="00CD161E"/>
    <w:rsid w:val="00CD5E39"/>
    <w:rsid w:val="00CE7A31"/>
    <w:rsid w:val="00CF5387"/>
    <w:rsid w:val="00D0474D"/>
    <w:rsid w:val="00D101B3"/>
    <w:rsid w:val="00D35DBB"/>
    <w:rsid w:val="00D52520"/>
    <w:rsid w:val="00D541E2"/>
    <w:rsid w:val="00D6634F"/>
    <w:rsid w:val="00D71FC6"/>
    <w:rsid w:val="00D724B3"/>
    <w:rsid w:val="00D73A7A"/>
    <w:rsid w:val="00D76C4C"/>
    <w:rsid w:val="00D84874"/>
    <w:rsid w:val="00DA1078"/>
    <w:rsid w:val="00DA7FC8"/>
    <w:rsid w:val="00DB495A"/>
    <w:rsid w:val="00DC0FEE"/>
    <w:rsid w:val="00DF70F0"/>
    <w:rsid w:val="00E11B64"/>
    <w:rsid w:val="00E210AB"/>
    <w:rsid w:val="00E32D03"/>
    <w:rsid w:val="00E463E0"/>
    <w:rsid w:val="00E5492B"/>
    <w:rsid w:val="00E62A64"/>
    <w:rsid w:val="00E7084E"/>
    <w:rsid w:val="00E74E30"/>
    <w:rsid w:val="00E77FD4"/>
    <w:rsid w:val="00E80966"/>
    <w:rsid w:val="00E93405"/>
    <w:rsid w:val="00EA6AF1"/>
    <w:rsid w:val="00EE23C8"/>
    <w:rsid w:val="00EE28E7"/>
    <w:rsid w:val="00EE733D"/>
    <w:rsid w:val="00F02FED"/>
    <w:rsid w:val="00F0346B"/>
    <w:rsid w:val="00F06668"/>
    <w:rsid w:val="00F11528"/>
    <w:rsid w:val="00F34737"/>
    <w:rsid w:val="00F371AF"/>
    <w:rsid w:val="00F4772B"/>
    <w:rsid w:val="00F556D6"/>
    <w:rsid w:val="00F67F31"/>
    <w:rsid w:val="00FB49A4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D004"/>
  <w15:docId w15:val="{34F51819-EFFA-4B2F-BB3A-9A8926FF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6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6F62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7">
    <w:name w:val="Body Text Indent"/>
    <w:basedOn w:val="a"/>
    <w:link w:val="a8"/>
    <w:rsid w:val="006F48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48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071"/>
  </w:style>
  <w:style w:type="paragraph" w:styleId="ab">
    <w:name w:val="footer"/>
    <w:basedOn w:val="a"/>
    <w:link w:val="ac"/>
    <w:uiPriority w:val="99"/>
    <w:unhideWhenUsed/>
    <w:rsid w:val="00187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071"/>
  </w:style>
  <w:style w:type="character" w:styleId="ad">
    <w:name w:val="Emphasis"/>
    <w:qFormat/>
    <w:rsid w:val="00D0474D"/>
    <w:rPr>
      <w:i/>
      <w:iCs/>
    </w:rPr>
  </w:style>
  <w:style w:type="character" w:customStyle="1" w:styleId="apple-converted-space">
    <w:name w:val="apple-converted-space"/>
    <w:rsid w:val="00C30A1B"/>
  </w:style>
  <w:style w:type="paragraph" w:styleId="ae">
    <w:name w:val="Balloon Text"/>
    <w:basedOn w:val="a"/>
    <w:link w:val="af"/>
    <w:uiPriority w:val="99"/>
    <w:semiHidden/>
    <w:unhideWhenUsed/>
    <w:rsid w:val="00635D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5D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4A678-1898-4E41-A660-69765D3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Катерина</cp:lastModifiedBy>
  <cp:revision>5</cp:revision>
  <cp:lastPrinted>2019-03-29T06:20:00Z</cp:lastPrinted>
  <dcterms:created xsi:type="dcterms:W3CDTF">2019-03-29T08:45:00Z</dcterms:created>
  <dcterms:modified xsi:type="dcterms:W3CDTF">2020-03-30T14:45:00Z</dcterms:modified>
</cp:coreProperties>
</file>