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B163" w14:textId="77777777" w:rsidR="001E09E2" w:rsidRPr="00BC54BD" w:rsidRDefault="001E09E2" w:rsidP="00BC54BD">
      <w:pPr>
        <w:spacing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Державний університет «Житомирська політехніка»</w:t>
      </w:r>
    </w:p>
    <w:p w14:paraId="5942A1E0" w14:textId="195327B9" w:rsidR="001375DA" w:rsidRPr="00BC54BD" w:rsidRDefault="001375DA" w:rsidP="00BC54BD">
      <w:pPr>
        <w:spacing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Гірничо-екологічний факультет</w:t>
      </w:r>
    </w:p>
    <w:p w14:paraId="6C4905BC" w14:textId="77777777" w:rsidR="001375DA" w:rsidRPr="00BC54BD" w:rsidRDefault="001375DA" w:rsidP="00BC54BD">
      <w:pPr>
        <w:spacing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Кафедра екології</w:t>
      </w:r>
    </w:p>
    <w:p w14:paraId="4D4A5B97" w14:textId="77777777" w:rsidR="00C566DB" w:rsidRDefault="001375DA" w:rsidP="00C566DB">
      <w:pPr>
        <w:jc w:val="center"/>
        <w:rPr>
          <w:sz w:val="28"/>
          <w:szCs w:val="28"/>
          <w:lang w:val="uk-UA" w:eastAsia="en-US"/>
        </w:rPr>
      </w:pPr>
      <w:r w:rsidRPr="00BC54BD">
        <w:rPr>
          <w:sz w:val="28"/>
          <w:szCs w:val="28"/>
          <w:lang w:val="uk-UA"/>
        </w:rPr>
        <w:t>Спеціальність:</w:t>
      </w:r>
      <w:r w:rsidR="00C566DB">
        <w:rPr>
          <w:sz w:val="28"/>
          <w:szCs w:val="28"/>
          <w:lang w:val="uk-UA"/>
        </w:rPr>
        <w:t xml:space="preserve"> </w:t>
      </w:r>
      <w:r w:rsidR="00C566DB" w:rsidRPr="00C566DB">
        <w:rPr>
          <w:sz w:val="28"/>
          <w:szCs w:val="28"/>
          <w:lang w:val="uk-UA"/>
        </w:rPr>
        <w:t>101 «Екологія»</w:t>
      </w:r>
    </w:p>
    <w:p w14:paraId="3AEB73FB" w14:textId="77777777" w:rsidR="001375DA" w:rsidRPr="00BC54BD" w:rsidRDefault="001375DA" w:rsidP="00C566DB">
      <w:pPr>
        <w:spacing w:before="120"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Освітній рівень: «бакалавр»</w:t>
      </w:r>
    </w:p>
    <w:p w14:paraId="75CD2C90" w14:textId="77777777" w:rsidR="001375DA" w:rsidRPr="00BC54BD" w:rsidRDefault="001375DA" w:rsidP="00BC54BD">
      <w:pPr>
        <w:spacing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ЗАПИТАННЯ ДЛЯ СКЛАДАННЯ ІСПИТУ З ДИСЦИПЛІНИ</w:t>
      </w:r>
    </w:p>
    <w:p w14:paraId="5B337BFC" w14:textId="77777777" w:rsidR="001375DA" w:rsidRPr="00BC54BD" w:rsidRDefault="001375DA" w:rsidP="00BC54BD">
      <w:pPr>
        <w:spacing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«</w:t>
      </w:r>
      <w:r w:rsidRPr="00BC54BD">
        <w:rPr>
          <w:b/>
          <w:bCs/>
          <w:sz w:val="28"/>
          <w:szCs w:val="28"/>
          <w:lang w:val="uk-UA"/>
        </w:rPr>
        <w:t>ГІДРОЛОГІЯ</w:t>
      </w:r>
      <w:r w:rsidRPr="00BC54BD">
        <w:rPr>
          <w:sz w:val="28"/>
          <w:szCs w:val="28"/>
          <w:lang w:val="uk-UA"/>
        </w:rPr>
        <w:t>»</w:t>
      </w:r>
    </w:p>
    <w:p w14:paraId="61284D22" w14:textId="38FF5100" w:rsidR="003C53FD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Процес розбудови держави на основі узгодження і гармонізації соціальної, економічної та екологічної складових з метою за</w:t>
      </w:r>
      <w:r w:rsidR="00C566DB">
        <w:rPr>
          <w:sz w:val="28"/>
          <w:szCs w:val="28"/>
          <w:lang w:val="uk-UA"/>
        </w:rPr>
        <w:t>доволен</w:t>
      </w:r>
      <w:r w:rsidRPr="00BC54BD">
        <w:rPr>
          <w:sz w:val="28"/>
          <w:szCs w:val="28"/>
          <w:lang w:val="uk-UA"/>
        </w:rPr>
        <w:t>ня потреб сучасних та майбутніх поколінь</w:t>
      </w:r>
    </w:p>
    <w:p w14:paraId="4D411C3B" w14:textId="1EBAAC00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Наукові ідеї, на яких ґрунтується концепція сталого розвитку</w:t>
      </w:r>
    </w:p>
    <w:p w14:paraId="11ED0660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Термін «сталий розвиток» був введений у використання</w:t>
      </w:r>
    </w:p>
    <w:p w14:paraId="4D1A4699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Комісію за сталого розвитку заснувала</w:t>
      </w:r>
    </w:p>
    <w:p w14:paraId="04133E7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Комісію за сталого розвитку було засновано у</w:t>
      </w:r>
    </w:p>
    <w:p w14:paraId="7151124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color w:val="000000"/>
          <w:spacing w:val="-4"/>
          <w:sz w:val="28"/>
          <w:szCs w:val="28"/>
          <w:lang w:val="uk-UA"/>
        </w:rPr>
        <w:t xml:space="preserve">Основним спеціально уповноваженим центральним органом </w:t>
      </w:r>
      <w:r w:rsidRPr="00BC54BD">
        <w:rPr>
          <w:color w:val="000000"/>
          <w:spacing w:val="-1"/>
          <w:sz w:val="28"/>
          <w:szCs w:val="28"/>
          <w:lang w:val="uk-UA"/>
        </w:rPr>
        <w:t xml:space="preserve">виконавчої влади в Україні з питань екології та охорони навколишнього середовища, в наш </w:t>
      </w:r>
      <w:r w:rsidRPr="00BC54BD">
        <w:rPr>
          <w:color w:val="000000"/>
          <w:spacing w:val="1"/>
          <w:sz w:val="28"/>
          <w:szCs w:val="28"/>
          <w:lang w:val="uk-UA"/>
        </w:rPr>
        <w:t>час є</w:t>
      </w:r>
    </w:p>
    <w:p w14:paraId="4AE02CC7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Головними завданнями Міністерства охорони навколишнього середовища є:</w:t>
      </w:r>
    </w:p>
    <w:p w14:paraId="1522B6A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функцій Міністерства охорони навколишнього середовища належать:</w:t>
      </w:r>
    </w:p>
    <w:p w14:paraId="6FC698E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урядових органів державного управління у складі Міністерства охорони навколишнього середовища належать:</w:t>
      </w:r>
    </w:p>
    <w:p w14:paraId="30E5E85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якої групи індикаторів відносять «передачу екологічно чистих технологій»?</w:t>
      </w:r>
    </w:p>
    <w:p w14:paraId="7F0FDBA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якої групи індикаторів відносять «захист атмосфери»?</w:t>
      </w:r>
    </w:p>
    <w:p w14:paraId="1E6B55EA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якої групи індикаторів відносять «облік питань екології і розвитку в плануванні і управлінні для сталого розвитку»?</w:t>
      </w:r>
    </w:p>
    <w:p w14:paraId="16CBB260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До якої групи індикаторів відносять «захист і поліпшення </w:t>
      </w:r>
      <w:r w:rsidRPr="00BC54BD">
        <w:rPr>
          <w:noProof/>
          <w:sz w:val="28"/>
          <w:szCs w:val="28"/>
          <w:lang w:val="uk-UA"/>
        </w:rPr>
        <w:t>здоровя</w:t>
      </w:r>
      <w:r w:rsidRPr="00BC54BD">
        <w:rPr>
          <w:sz w:val="28"/>
          <w:szCs w:val="28"/>
          <w:lang w:val="uk-UA"/>
        </w:rPr>
        <w:t xml:space="preserve"> людей»?</w:t>
      </w:r>
    </w:p>
    <w:p w14:paraId="1F86C17A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Індикатори людської активності, процесів і характеристик, що можуть позитивно чи негативно впливати на сталий розвиток відносять до:</w:t>
      </w:r>
    </w:p>
    <w:p w14:paraId="0FB92C6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Індикатори, що фіксують характеристики сталого розвитку і даному районі в даний момент, відносять до:</w:t>
      </w:r>
    </w:p>
    <w:p w14:paraId="4DEA39E6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Політичний вибір і інші реакції на зміну характеристик сталого розвитку, вказують на волю й ефективність суспільства до вирішення проблем сталого розвитку відносять до:</w:t>
      </w:r>
    </w:p>
    <w:p w14:paraId="2DBC0067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Досягнення сталого розвитку має такі основні напрямки й аспекти:</w:t>
      </w:r>
    </w:p>
    <w:p w14:paraId="20682CB6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Сталий розвиток орієнтований на подолання великої різниці в рівнях доходів і якості життя між різними країнами, різними групами та прошарками населення - це:</w:t>
      </w:r>
    </w:p>
    <w:p w14:paraId="57880BE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Ефективність управлінських рішень стане значно вищою, якщо вони спиратимуться на достовірне прогнозування процесів соціально-економічного розвитку – це:</w:t>
      </w:r>
    </w:p>
    <w:p w14:paraId="193E335B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lastRenderedPageBreak/>
        <w:t>Будь-яке господарське рішення повинно враховувати близькі і далекі його соціально-екологічні наслідки – це:</w:t>
      </w:r>
    </w:p>
    <w:p w14:paraId="17F569F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ключових завдань сталого розвитку відносять:</w:t>
      </w:r>
    </w:p>
    <w:p w14:paraId="3CEF9AD3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принципів сталого розвитку відносять:</w:t>
      </w:r>
    </w:p>
    <w:p w14:paraId="4F1365E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noProof/>
          <w:sz w:val="28"/>
          <w:szCs w:val="28"/>
          <w:lang w:val="uk-UA"/>
        </w:rPr>
      </w:pPr>
      <w:r w:rsidRPr="00BC54BD">
        <w:rPr>
          <w:noProof/>
          <w:sz w:val="28"/>
          <w:szCs w:val="28"/>
          <w:lang w:val="uk-UA"/>
        </w:rPr>
        <w:t>До рівнів сталого розвитку відносять:</w:t>
      </w:r>
    </w:p>
    <w:p w14:paraId="3639DD56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Рівень, відповідно до якого будь-які зміни довкілля спричинені діяльністю окремої людини:</w:t>
      </w:r>
    </w:p>
    <w:p w14:paraId="716BA3B1" w14:textId="735F190E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Рівень, відповідно до якого проблеми сталого розвитку зумовлені коле</w:t>
      </w:r>
      <w:r w:rsidR="00C566DB">
        <w:rPr>
          <w:sz w:val="28"/>
          <w:szCs w:val="28"/>
          <w:lang w:val="uk-UA"/>
        </w:rPr>
        <w:t>к</w:t>
      </w:r>
      <w:r w:rsidRPr="00BC54BD">
        <w:rPr>
          <w:sz w:val="28"/>
          <w:szCs w:val="28"/>
          <w:lang w:val="uk-UA"/>
        </w:rPr>
        <w:t>тивним характером діяльності:</w:t>
      </w:r>
    </w:p>
    <w:p w14:paraId="4973A00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Яке з означень науки відображає науку як сукупність набутих знань про закони природи:</w:t>
      </w:r>
    </w:p>
    <w:p w14:paraId="73D02282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Головна ознака науки:</w:t>
      </w:r>
    </w:p>
    <w:p w14:paraId="12C8C4DF" w14:textId="38D6DE9D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Екологія це - </w:t>
      </w:r>
    </w:p>
    <w:p w14:paraId="3B356B5D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Сукупність узагальнених положень, які дають можливість пізнати існуючі процеси і явища, проаналізувати дію на них різних факторів і запропонувати рекомендації по застосуванню їх у практичній діяльності людей.</w:t>
      </w:r>
    </w:p>
    <w:p w14:paraId="0B64AC26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Виберіть ознаки характерні для поняття:</w:t>
      </w:r>
    </w:p>
    <w:p w14:paraId="36C0EAAA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Науково обґрунтоване припущення, що висувається для пояснення якого-небудь процесу, яке після перевірки може виявитись дійсним або хибним.</w:t>
      </w:r>
    </w:p>
    <w:p w14:paraId="21F74EE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Відправне положення чи твердження якої-небудь теорії, що лежить в основі доведення інших положень, у межах якої воно приймається без доведення.</w:t>
      </w:r>
    </w:p>
    <w:p w14:paraId="279BCBC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Вивчення, пояснення і передбачення процесів і явищ дійсності – це</w:t>
      </w:r>
    </w:p>
    <w:p w14:paraId="1EE4E6B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Основне, вихідне положення якої-небудь теорії, вчення, галузі науки</w:t>
      </w:r>
    </w:p>
    <w:p w14:paraId="4E748D8B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Цілісна сукупність суджень про відмінні ознаки об’єкту, що досліджується, основою якої є твердження про найбільш загальні в той же час істотні ознаки цього об’єкту.</w:t>
      </w:r>
    </w:p>
    <w:p w14:paraId="6866DFC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Форми руху неживої природи вивчають:</w:t>
      </w:r>
    </w:p>
    <w:p w14:paraId="4DA34CFA" w14:textId="65D54A52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Соціально-економічні, політичні та ідеологічні закономірності розвитку суспільства є предметом вивчення:</w:t>
      </w:r>
    </w:p>
    <w:p w14:paraId="50A2C9AA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Залежно від змісту й методів вивчення явищ природи розрізняють знання:</w:t>
      </w:r>
    </w:p>
    <w:p w14:paraId="101F500F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Природничі науки, які досліджують явища життя:</w:t>
      </w:r>
    </w:p>
    <w:p w14:paraId="1C4F0600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суміжних галузей науки належать:</w:t>
      </w:r>
    </w:p>
    <w:p w14:paraId="1EA5EA78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>Комплекс наукових дисциплін, які здійснюють прикладний системний аналіз організаційно-економічних і соціально-управлінських умов підвищення ефективності процесів наукової діяльності – це...</w:t>
      </w:r>
    </w:p>
    <w:p w14:paraId="5E20C779" w14:textId="225133AF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Сукупність пізнавальних засобів, методів, прийомів та їх певна послідовність, прийнята при</w:t>
      </w:r>
      <w:r w:rsidR="00C566DB">
        <w:rPr>
          <w:sz w:val="28"/>
          <w:szCs w:val="28"/>
          <w:lang w:val="uk-UA"/>
        </w:rPr>
        <w:t xml:space="preserve"> </w:t>
      </w:r>
      <w:r w:rsidRPr="00BC54BD">
        <w:rPr>
          <w:sz w:val="28"/>
          <w:szCs w:val="28"/>
          <w:lang w:val="uk-UA"/>
        </w:rPr>
        <w:t>розробці наукового дослідження – це…</w:t>
      </w:r>
    </w:p>
    <w:p w14:paraId="2A914A8B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Розрізняють такі категорії наукових досліджень:</w:t>
      </w:r>
    </w:p>
    <w:p w14:paraId="22E58B5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 xml:space="preserve">Дослідження, спрямовані на пізнання законів, що управляють поведінкою і взаємодією базисних структур природи, суспільства чи мислення без конкретного їх використання – </w:t>
      </w:r>
    </w:p>
    <w:p w14:paraId="5B1E6D9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Серед фундаментальних досліджень розрізняють:</w:t>
      </w:r>
    </w:p>
    <w:p w14:paraId="395EA7B9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головних ознак наукової школи відносять:</w:t>
      </w:r>
    </w:p>
    <w:p w14:paraId="7F553FB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Рівень інтеграції наукового знання, в якому процеси відбуваються у межах окремих наук:</w:t>
      </w:r>
    </w:p>
    <w:p w14:paraId="0479613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lastRenderedPageBreak/>
        <w:t>Рівень інтеграції наукового знання, який підтверджує органічну єдність світу:</w:t>
      </w:r>
    </w:p>
    <w:p w14:paraId="3F9239E4" w14:textId="288489A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Рівень інтеграції наукового знання, на якому відбувається інт</w:t>
      </w:r>
      <w:r w:rsidR="00C566DB">
        <w:rPr>
          <w:sz w:val="28"/>
          <w:szCs w:val="28"/>
          <w:lang w:val="uk-UA"/>
        </w:rPr>
        <w:t>е</w:t>
      </w:r>
      <w:r w:rsidRPr="00BC54BD">
        <w:rPr>
          <w:sz w:val="28"/>
          <w:szCs w:val="28"/>
          <w:lang w:val="uk-UA"/>
        </w:rPr>
        <w:t xml:space="preserve">грація наукових понять, теорій і методів у філософських концепціях: </w:t>
      </w:r>
    </w:p>
    <w:p w14:paraId="67C3B64B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Найбільш узагальненим і постійно діючим інтегратором, який об’єднує всі перераховані інтегруючі фактори, є</w:t>
      </w:r>
    </w:p>
    <w:p w14:paraId="5A354C9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Вчення про методи дослідження, про правила мислення при створенні теорії науки – </w:t>
      </w:r>
    </w:p>
    <w:p w14:paraId="49C8F60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Вчення про особливості застосування окремого методу або системи методів – </w:t>
      </w:r>
    </w:p>
    <w:p w14:paraId="3D945AD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Уявне створення об’єктів і умов, які не існують в дійсності і не можуть бути практично створені – </w:t>
      </w:r>
    </w:p>
    <w:p w14:paraId="7F6CD4B2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Метод вивчення різних об’єктів, при якому основні закономірності явищ і процесів відображаються в знаковій формі за допомогою формул або спеціальних символів – </w:t>
      </w:r>
    </w:p>
    <w:p w14:paraId="0D28A987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Метод дослідження, який полягає в тому, що конкретні положення виходять із загальних – </w:t>
      </w:r>
    </w:p>
    <w:p w14:paraId="0E2D4E8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Метод, при якому за конкретними фактами і явищами встановлюються загальні принципи і закони – </w:t>
      </w:r>
    </w:p>
    <w:p w14:paraId="7B2B0A07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Спосіб пізнання об’єктивного світу на основі безпосереднього сприйняття предметів і явищ за допомогою чуттєвості – </w:t>
      </w:r>
    </w:p>
    <w:p w14:paraId="3D2C9F16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Система операцій, впливу або спостережень, спрямованих на одержання інформації про об’єкт при дослідницьких випробуваннях, які можуть проводитися в природних і штучних умовах при зміні характеру проходження процесу – </w:t>
      </w:r>
    </w:p>
    <w:p w14:paraId="73DFE23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пізнавальних прийомів наукових досліджень не належить:</w:t>
      </w:r>
    </w:p>
    <w:p w14:paraId="6EF7106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 xml:space="preserve">Метод наукового пізнання, суть якого полягає у виділенні кількох ознак або властивостей об’єкта, що досліджується, при означеному розумовому відключенні інших властивостей, </w:t>
      </w:r>
      <w:proofErr w:type="spellStart"/>
      <w:r w:rsidRPr="00BC54BD">
        <w:rPr>
          <w:sz w:val="28"/>
          <w:szCs w:val="28"/>
          <w:lang w:val="uk-UA"/>
        </w:rPr>
        <w:t>зв’язків</w:t>
      </w:r>
      <w:proofErr w:type="spellEnd"/>
      <w:r w:rsidRPr="00BC54BD">
        <w:rPr>
          <w:sz w:val="28"/>
          <w:szCs w:val="28"/>
          <w:lang w:val="uk-UA"/>
        </w:rPr>
        <w:t xml:space="preserve"> і відносин предмета – </w:t>
      </w:r>
    </w:p>
    <w:p w14:paraId="173E36E3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принципів, на яких базується державна політики в галузі екологічної освіти належать:</w:t>
      </w:r>
    </w:p>
    <w:p w14:paraId="48CC5DB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Зміст безперервної екологічної освіти та виховання включає такі ланки:</w:t>
      </w:r>
    </w:p>
    <w:p w14:paraId="6334C2C5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формальної екологічної освіти відносять:</w:t>
      </w:r>
    </w:p>
    <w:p w14:paraId="7A20F8B9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неформальної екологічної освіти відносять:</w:t>
      </w:r>
    </w:p>
    <w:p w14:paraId="5DF2C665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Ф</w:t>
      </w:r>
      <w:r w:rsidRPr="00BC54BD">
        <w:rPr>
          <w:color w:val="222222"/>
          <w:sz w:val="28"/>
          <w:szCs w:val="28"/>
          <w:lang w:val="uk-UA"/>
        </w:rPr>
        <w:t>ормування екологічної культури окремих осіб і суспільства в цілому, формування навичок, фундаментальних екологічних знань, екологічного мислення і свідомості, що ґрунтуються на ставленні до природи як універсальної, унікальної цінності.</w:t>
      </w:r>
    </w:p>
    <w:p w14:paraId="45B1EDD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Міждисциплінарний підхід до формування екологічного мислення передбачає:</w:t>
      </w:r>
    </w:p>
    <w:p w14:paraId="55FDAF63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color w:val="222222"/>
          <w:sz w:val="28"/>
          <w:szCs w:val="28"/>
          <w:lang w:val="uk-UA"/>
        </w:rPr>
        <w:t>Базовою організацією для реалізації ефективної системи управління в сфері екологічної освіти є</w:t>
      </w:r>
    </w:p>
    <w:p w14:paraId="003E4CD9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color w:val="222222"/>
          <w:sz w:val="28"/>
          <w:szCs w:val="28"/>
          <w:lang w:val="uk-UA"/>
        </w:rPr>
      </w:pPr>
      <w:r w:rsidRPr="00BC54BD">
        <w:rPr>
          <w:color w:val="222222"/>
          <w:sz w:val="28"/>
          <w:szCs w:val="28"/>
          <w:lang w:val="uk-UA"/>
        </w:rPr>
        <w:t>Процес європейських реформ, що спрямований на створення спільної Зони європейської вищої освіти  - ..</w:t>
      </w:r>
    </w:p>
    <w:p w14:paraId="7116D92D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Передумовою створення Болонської декларації стало підписання:</w:t>
      </w:r>
    </w:p>
    <w:p w14:paraId="149683F8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Підписання Болонської декларації відбулося у:</w:t>
      </w:r>
    </w:p>
    <w:p w14:paraId="6D51834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lastRenderedPageBreak/>
        <w:t>Зміна освітніх систем, згідно з цілями БП повинна сприяти:</w:t>
      </w:r>
    </w:p>
    <w:p w14:paraId="6B253D5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Україна приєдналася до Болонського процесу у:</w:t>
      </w:r>
    </w:p>
    <w:p w14:paraId="7C6125F2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rStyle w:val="aa"/>
          <w:b w:val="0"/>
          <w:sz w:val="28"/>
          <w:szCs w:val="28"/>
          <w:lang w:val="uk-UA"/>
        </w:rPr>
      </w:pPr>
      <w:r w:rsidRPr="00BC54BD">
        <w:rPr>
          <w:rStyle w:val="aa"/>
          <w:b w:val="0"/>
          <w:sz w:val="28"/>
          <w:szCs w:val="28"/>
          <w:lang w:val="uk-UA"/>
        </w:rPr>
        <w:t>На сьогодні до Великої Хартії приєдналося:</w:t>
      </w:r>
    </w:p>
    <w:p w14:paraId="35F9AD66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Приєднання України до Болонського процесу відбулося із підписання декларації на:</w:t>
      </w:r>
    </w:p>
    <w:p w14:paraId="467DFEE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Серед проблем української вищої освіти у контексті Болонського процесу виділяють:</w:t>
      </w:r>
    </w:p>
    <w:p w14:paraId="6AA84CB0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 xml:space="preserve">Відносне мірило навчального навантаження студента, що лише визначає, яку частину загального річного навантаження  </w:t>
      </w:r>
    </w:p>
    <w:p w14:paraId="5592F04D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Одиниця виміру навчального навантаження, необхідного для засвоєння змістових модулів або блоку змістових модулів – </w:t>
      </w:r>
    </w:p>
    <w:p w14:paraId="01199730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Задокументована завершена частина освітньо-професійної програми, що реалізується відповідними формами навчального процесу – </w:t>
      </w:r>
    </w:p>
    <w:p w14:paraId="4DC9BE6A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>Обсяг навчальної інформації, яка має самостійну логічну структуру і зміст та дає можливість оперувати цією інформацією в процесі розумової діяльності</w:t>
      </w:r>
    </w:p>
    <w:p w14:paraId="4F9AC84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 xml:space="preserve">Документ, який містить загальну інформацію про університет, назву напрямів, спеціальностей, анотації і з зазначенням обов’язкових та вибіркових курсів, методики і технології викладання, залікові кредити, форми та умови проведення контрольних заходів, опис системи оцінювання якості освіти тощо - </w:t>
      </w:r>
    </w:p>
    <w:p w14:paraId="0001C34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Сукупність норм, які визначають вимоги до освітнього чи освітньо-кваліфікаційного рівня – </w:t>
      </w:r>
    </w:p>
    <w:p w14:paraId="5EAC5354" w14:textId="76B36544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Обумовлені цілями та потребами суспільства вимоги до системи знань, умінь та навичок, світогляду та громадянських і професійних якостей майбутнього фахівця,</w:t>
      </w:r>
      <w:r w:rsidR="00C566DB">
        <w:rPr>
          <w:sz w:val="28"/>
          <w:szCs w:val="28"/>
          <w:lang w:val="uk-UA"/>
        </w:rPr>
        <w:t xml:space="preserve"> </w:t>
      </w:r>
      <w:r w:rsidRPr="00BC54BD">
        <w:rPr>
          <w:sz w:val="28"/>
          <w:szCs w:val="28"/>
          <w:lang w:val="uk-UA"/>
        </w:rPr>
        <w:t xml:space="preserve">що формуються у процесі навчання з урахуванням перспектив розвитку науки, техніки, технологій та культури – </w:t>
      </w:r>
    </w:p>
    <w:p w14:paraId="140598A2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Науково обґрунтована система дидактично та </w:t>
      </w:r>
      <w:proofErr w:type="spellStart"/>
      <w:r w:rsidRPr="00BC54BD">
        <w:rPr>
          <w:sz w:val="28"/>
          <w:szCs w:val="28"/>
          <w:lang w:val="uk-UA"/>
        </w:rPr>
        <w:t>методично</w:t>
      </w:r>
      <w:proofErr w:type="spellEnd"/>
      <w:r w:rsidRPr="00BC54BD">
        <w:rPr>
          <w:sz w:val="28"/>
          <w:szCs w:val="28"/>
          <w:lang w:val="uk-UA"/>
        </w:rPr>
        <w:t xml:space="preserve"> оформленого навчального матеріалу, засвоєння якого забезпечує здобуття освіти і кваліфікації згідно з освітньо-кваліфікаційним рівнем – </w:t>
      </w:r>
    </w:p>
    <w:p w14:paraId="35BD3B65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 xml:space="preserve">Складова галузевих стандартів вищої освіти, що визначає нормативний термін та нормативну частину  змісту навчання за певним напрямом або спеціальністю відповідного освітньо-кваліфікаційного рівня, встановлює вимоги до змісту, обсягу та рівня освіти й професійної підготовки фахівця та передбачає відповідні форми контролю і державної атестації – </w:t>
      </w:r>
    </w:p>
    <w:p w14:paraId="379C628A" w14:textId="63CE0B86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>Складова галузевих стандартів вищої освіти,</w:t>
      </w:r>
      <w:r w:rsidR="00C566DB">
        <w:rPr>
          <w:sz w:val="28"/>
          <w:szCs w:val="28"/>
          <w:lang w:val="uk-UA"/>
        </w:rPr>
        <w:t xml:space="preserve"> </w:t>
      </w:r>
      <w:r w:rsidRPr="00BC54BD">
        <w:rPr>
          <w:sz w:val="28"/>
          <w:szCs w:val="28"/>
          <w:lang w:val="uk-UA"/>
        </w:rPr>
        <w:t xml:space="preserve">де відображені цілі вищої освіти  та професійної підготовки, визначено місце фахівця у структурі галузей економіки держави і вимог до його компетентності, професійних та соціально-важливих якостей, систему виробничих функцій і типових завдань діяльності  й умінь для їх реалізації – </w:t>
      </w:r>
    </w:p>
    <w:p w14:paraId="057D219A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>Система організаційних і дидактичних заходів, спрямованих на реалізацію змісту освіти на певному освітньо-кваліфікаційному рівні відповідно до державних стандартів освіти.</w:t>
      </w:r>
    </w:p>
    <w:p w14:paraId="2C7EBFC7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Гарантований мінімум вимог до відповідного освітньо-кваліфікаційного рівня – </w:t>
      </w:r>
    </w:p>
    <w:p w14:paraId="158FFCED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lastRenderedPageBreak/>
        <w:t xml:space="preserve">Педагогічно адаптована система понять про явища, закономірності, закони, теорії, методи тощо будь-якої галузі діяльності із визначенням необхідного рівня сформованості у тих, хто навчається, певної сукупності умінь і навичок, передбачених для засвоєння студентами – </w:t>
      </w:r>
    </w:p>
    <w:p w14:paraId="4FE6DC73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Нормативний документ вищого закладу освіти, у якому відображається конкретний зміст навчальної дисципліни, послідовність та організаційно-методичні форми її вивчення, обсяг часу на різні види навчальної роботи, засоби і форми поточного і підсумкового контролю, перелік навчально-методичної літератури – </w:t>
      </w:r>
    </w:p>
    <w:p w14:paraId="66A40523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Курс навчання, що визначається уповноваженим органом держави як складова системи вищої освіти і по завершенню якого студент отримує кваліфікацію вищої освіти – </w:t>
      </w:r>
    </w:p>
    <w:p w14:paraId="42912313" w14:textId="77777777" w:rsidR="00EF171C" w:rsidRPr="00BC54BD" w:rsidRDefault="00EF171C" w:rsidP="00BC54BD">
      <w:pPr>
        <w:pStyle w:val="a6"/>
        <w:jc w:val="both"/>
        <w:rPr>
          <w:sz w:val="28"/>
          <w:szCs w:val="28"/>
          <w:lang w:val="uk-UA"/>
        </w:rPr>
      </w:pPr>
    </w:p>
    <w:p w14:paraId="2D8767C0" w14:textId="77777777" w:rsidR="00EF171C" w:rsidRPr="00BC54BD" w:rsidRDefault="00EF171C" w:rsidP="00BC54BD">
      <w:pPr>
        <w:spacing w:line="360" w:lineRule="auto"/>
        <w:jc w:val="both"/>
        <w:rPr>
          <w:sz w:val="28"/>
          <w:szCs w:val="28"/>
          <w:lang w:val="uk-UA"/>
        </w:rPr>
      </w:pPr>
    </w:p>
    <w:sectPr w:rsidR="00EF171C" w:rsidRPr="00BC54BD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2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1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79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5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8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4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3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8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3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4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5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0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5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9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1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6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2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5EA08FF"/>
    <w:multiLevelType w:val="hybridMultilevel"/>
    <w:tmpl w:val="A1780B2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5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8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2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7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8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9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1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4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6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7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8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90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3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4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5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8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1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7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8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09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1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5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6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2"/>
  </w:num>
  <w:num w:numId="2">
    <w:abstractNumId w:val="37"/>
  </w:num>
  <w:num w:numId="3">
    <w:abstractNumId w:val="136"/>
  </w:num>
  <w:num w:numId="4">
    <w:abstractNumId w:val="10"/>
  </w:num>
  <w:num w:numId="5">
    <w:abstractNumId w:val="203"/>
  </w:num>
  <w:num w:numId="6">
    <w:abstractNumId w:val="30"/>
  </w:num>
  <w:num w:numId="7">
    <w:abstractNumId w:val="208"/>
  </w:num>
  <w:num w:numId="8">
    <w:abstractNumId w:val="84"/>
  </w:num>
  <w:num w:numId="9">
    <w:abstractNumId w:val="180"/>
  </w:num>
  <w:num w:numId="10">
    <w:abstractNumId w:val="62"/>
  </w:num>
  <w:num w:numId="11">
    <w:abstractNumId w:val="125"/>
  </w:num>
  <w:num w:numId="12">
    <w:abstractNumId w:val="215"/>
  </w:num>
  <w:num w:numId="13">
    <w:abstractNumId w:val="209"/>
  </w:num>
  <w:num w:numId="14">
    <w:abstractNumId w:val="53"/>
  </w:num>
  <w:num w:numId="15">
    <w:abstractNumId w:val="189"/>
  </w:num>
  <w:num w:numId="16">
    <w:abstractNumId w:val="26"/>
  </w:num>
  <w:num w:numId="17">
    <w:abstractNumId w:val="29"/>
  </w:num>
  <w:num w:numId="18">
    <w:abstractNumId w:val="51"/>
  </w:num>
  <w:num w:numId="19">
    <w:abstractNumId w:val="113"/>
  </w:num>
  <w:num w:numId="20">
    <w:abstractNumId w:val="214"/>
  </w:num>
  <w:num w:numId="21">
    <w:abstractNumId w:val="200"/>
  </w:num>
  <w:num w:numId="22">
    <w:abstractNumId w:val="34"/>
  </w:num>
  <w:num w:numId="23">
    <w:abstractNumId w:val="140"/>
  </w:num>
  <w:num w:numId="24">
    <w:abstractNumId w:val="61"/>
  </w:num>
  <w:num w:numId="25">
    <w:abstractNumId w:val="184"/>
  </w:num>
  <w:num w:numId="26">
    <w:abstractNumId w:val="79"/>
  </w:num>
  <w:num w:numId="27">
    <w:abstractNumId w:val="185"/>
  </w:num>
  <w:num w:numId="28">
    <w:abstractNumId w:val="177"/>
  </w:num>
  <w:num w:numId="29">
    <w:abstractNumId w:val="166"/>
  </w:num>
  <w:num w:numId="30">
    <w:abstractNumId w:val="71"/>
  </w:num>
  <w:num w:numId="31">
    <w:abstractNumId w:val="60"/>
  </w:num>
  <w:num w:numId="32">
    <w:abstractNumId w:val="208"/>
    <w:lvlOverride w:ilvl="0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4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</w:num>
  <w:num w:numId="37">
    <w:abstractNumId w:val="187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2"/>
    <w:lvlOverride w:ilvl="0">
      <w:startOverride w:val="1"/>
    </w:lvlOverride>
  </w:num>
  <w:num w:numId="42">
    <w:abstractNumId w:val="15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208"/>
    <w:lvlOverride w:ilvl="0">
      <w:startOverride w:val="1"/>
    </w:lvlOverride>
  </w:num>
  <w:num w:numId="45">
    <w:abstractNumId w:val="208"/>
    <w:lvlOverride w:ilvl="0">
      <w:startOverride w:val="1"/>
    </w:lvlOverride>
  </w:num>
  <w:num w:numId="46">
    <w:abstractNumId w:val="208"/>
    <w:lvlOverride w:ilvl="0">
      <w:startOverride w:val="1"/>
    </w:lvlOverride>
  </w:num>
  <w:num w:numId="4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8"/>
    <w:lvlOverride w:ilvl="0">
      <w:startOverride w:val="1"/>
    </w:lvlOverride>
  </w:num>
  <w:num w:numId="50">
    <w:abstractNumId w:val="208"/>
    <w:lvlOverride w:ilvl="0">
      <w:startOverride w:val="1"/>
    </w:lvlOverride>
  </w:num>
  <w:num w:numId="51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3"/>
  </w:num>
  <w:num w:numId="74">
    <w:abstractNumId w:val="167"/>
  </w:num>
  <w:num w:numId="75">
    <w:abstractNumId w:val="210"/>
  </w:num>
  <w:num w:numId="76">
    <w:abstractNumId w:val="4"/>
  </w:num>
  <w:num w:numId="77">
    <w:abstractNumId w:val="78"/>
  </w:num>
  <w:num w:numId="78">
    <w:abstractNumId w:val="124"/>
  </w:num>
  <w:num w:numId="79">
    <w:abstractNumId w:val="87"/>
  </w:num>
  <w:num w:numId="80">
    <w:abstractNumId w:val="216"/>
  </w:num>
  <w:num w:numId="81">
    <w:abstractNumId w:val="128"/>
  </w:num>
  <w:num w:numId="82">
    <w:abstractNumId w:val="119"/>
  </w:num>
  <w:num w:numId="83">
    <w:abstractNumId w:val="133"/>
  </w:num>
  <w:num w:numId="84">
    <w:abstractNumId w:val="107"/>
  </w:num>
  <w:num w:numId="85">
    <w:abstractNumId w:val="120"/>
  </w:num>
  <w:num w:numId="86">
    <w:abstractNumId w:val="90"/>
  </w:num>
  <w:num w:numId="87">
    <w:abstractNumId w:val="127"/>
  </w:num>
  <w:num w:numId="88">
    <w:abstractNumId w:val="25"/>
  </w:num>
  <w:num w:numId="89">
    <w:abstractNumId w:val="88"/>
  </w:num>
  <w:num w:numId="90">
    <w:abstractNumId w:val="2"/>
  </w:num>
  <w:num w:numId="91">
    <w:abstractNumId w:val="77"/>
  </w:num>
  <w:num w:numId="92">
    <w:abstractNumId w:val="193"/>
  </w:num>
  <w:num w:numId="93">
    <w:abstractNumId w:val="109"/>
  </w:num>
  <w:num w:numId="94">
    <w:abstractNumId w:val="147"/>
  </w:num>
  <w:num w:numId="95">
    <w:abstractNumId w:val="158"/>
  </w:num>
  <w:num w:numId="96">
    <w:abstractNumId w:val="138"/>
  </w:num>
  <w:num w:numId="97">
    <w:abstractNumId w:val="31"/>
  </w:num>
  <w:num w:numId="98">
    <w:abstractNumId w:val="192"/>
  </w:num>
  <w:num w:numId="99">
    <w:abstractNumId w:val="45"/>
  </w:num>
  <w:num w:numId="100">
    <w:abstractNumId w:val="196"/>
  </w:num>
  <w:num w:numId="101">
    <w:abstractNumId w:val="55"/>
  </w:num>
  <w:num w:numId="102">
    <w:abstractNumId w:val="130"/>
  </w:num>
  <w:num w:numId="103">
    <w:abstractNumId w:val="39"/>
  </w:num>
  <w:num w:numId="104">
    <w:abstractNumId w:val="94"/>
  </w:num>
  <w:num w:numId="105">
    <w:abstractNumId w:val="36"/>
  </w:num>
  <w:num w:numId="106">
    <w:abstractNumId w:val="197"/>
  </w:num>
  <w:num w:numId="107">
    <w:abstractNumId w:val="80"/>
  </w:num>
  <w:num w:numId="108">
    <w:abstractNumId w:val="112"/>
  </w:num>
  <w:num w:numId="109">
    <w:abstractNumId w:val="173"/>
  </w:num>
  <w:num w:numId="110">
    <w:abstractNumId w:val="134"/>
  </w:num>
  <w:num w:numId="111">
    <w:abstractNumId w:val="23"/>
  </w:num>
  <w:num w:numId="112">
    <w:abstractNumId w:val="161"/>
  </w:num>
  <w:num w:numId="113">
    <w:abstractNumId w:val="93"/>
  </w:num>
  <w:num w:numId="114">
    <w:abstractNumId w:val="129"/>
  </w:num>
  <w:num w:numId="115">
    <w:abstractNumId w:val="40"/>
  </w:num>
  <w:num w:numId="116">
    <w:abstractNumId w:val="102"/>
  </w:num>
  <w:num w:numId="117">
    <w:abstractNumId w:val="186"/>
  </w:num>
  <w:num w:numId="118">
    <w:abstractNumId w:val="206"/>
  </w:num>
  <w:num w:numId="119">
    <w:abstractNumId w:val="194"/>
  </w:num>
  <w:num w:numId="120">
    <w:abstractNumId w:val="70"/>
  </w:num>
  <w:num w:numId="121">
    <w:abstractNumId w:val="178"/>
  </w:num>
  <w:num w:numId="122">
    <w:abstractNumId w:val="17"/>
  </w:num>
  <w:num w:numId="123">
    <w:abstractNumId w:val="75"/>
  </w:num>
  <w:num w:numId="124">
    <w:abstractNumId w:val="151"/>
  </w:num>
  <w:num w:numId="125">
    <w:abstractNumId w:val="18"/>
  </w:num>
  <w:num w:numId="126">
    <w:abstractNumId w:val="183"/>
  </w:num>
  <w:num w:numId="127">
    <w:abstractNumId w:val="74"/>
  </w:num>
  <w:num w:numId="128">
    <w:abstractNumId w:val="76"/>
  </w:num>
  <w:num w:numId="129">
    <w:abstractNumId w:val="14"/>
  </w:num>
  <w:num w:numId="130">
    <w:abstractNumId w:val="58"/>
  </w:num>
  <w:num w:numId="131">
    <w:abstractNumId w:val="100"/>
  </w:num>
  <w:num w:numId="132">
    <w:abstractNumId w:val="52"/>
  </w:num>
  <w:num w:numId="133">
    <w:abstractNumId w:val="148"/>
  </w:num>
  <w:num w:numId="134">
    <w:abstractNumId w:val="176"/>
  </w:num>
  <w:num w:numId="135">
    <w:abstractNumId w:val="68"/>
  </w:num>
  <w:num w:numId="136">
    <w:abstractNumId w:val="198"/>
  </w:num>
  <w:num w:numId="137">
    <w:abstractNumId w:val="150"/>
  </w:num>
  <w:num w:numId="138">
    <w:abstractNumId w:val="123"/>
  </w:num>
  <w:num w:numId="139">
    <w:abstractNumId w:val="20"/>
  </w:num>
  <w:num w:numId="140">
    <w:abstractNumId w:val="24"/>
  </w:num>
  <w:num w:numId="141">
    <w:abstractNumId w:val="157"/>
  </w:num>
  <w:num w:numId="142">
    <w:abstractNumId w:val="117"/>
  </w:num>
  <w:num w:numId="143">
    <w:abstractNumId w:val="44"/>
  </w:num>
  <w:num w:numId="144">
    <w:abstractNumId w:val="171"/>
  </w:num>
  <w:num w:numId="145">
    <w:abstractNumId w:val="162"/>
  </w:num>
  <w:num w:numId="146">
    <w:abstractNumId w:val="160"/>
  </w:num>
  <w:num w:numId="147">
    <w:abstractNumId w:val="21"/>
  </w:num>
  <w:num w:numId="148">
    <w:abstractNumId w:val="104"/>
  </w:num>
  <w:num w:numId="149">
    <w:abstractNumId w:val="199"/>
  </w:num>
  <w:num w:numId="150">
    <w:abstractNumId w:val="181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99"/>
  </w:num>
  <w:num w:numId="156">
    <w:abstractNumId w:val="141"/>
  </w:num>
  <w:num w:numId="157">
    <w:abstractNumId w:val="42"/>
  </w:num>
  <w:num w:numId="158">
    <w:abstractNumId w:val="1"/>
  </w:num>
  <w:num w:numId="159">
    <w:abstractNumId w:val="0"/>
  </w:num>
  <w:num w:numId="160">
    <w:abstractNumId w:val="96"/>
  </w:num>
  <w:num w:numId="161">
    <w:abstractNumId w:val="205"/>
  </w:num>
  <w:num w:numId="162">
    <w:abstractNumId w:val="149"/>
  </w:num>
  <w:num w:numId="163">
    <w:abstractNumId w:val="165"/>
  </w:num>
  <w:num w:numId="164">
    <w:abstractNumId w:val="101"/>
  </w:num>
  <w:num w:numId="165">
    <w:abstractNumId w:val="190"/>
  </w:num>
  <w:num w:numId="166">
    <w:abstractNumId w:val="174"/>
  </w:num>
  <w:num w:numId="167">
    <w:abstractNumId w:val="211"/>
  </w:num>
  <w:num w:numId="168">
    <w:abstractNumId w:val="82"/>
  </w:num>
  <w:num w:numId="169">
    <w:abstractNumId w:val="89"/>
  </w:num>
  <w:num w:numId="170">
    <w:abstractNumId w:val="38"/>
  </w:num>
  <w:num w:numId="171">
    <w:abstractNumId w:val="9"/>
  </w:num>
  <w:num w:numId="172">
    <w:abstractNumId w:val="48"/>
  </w:num>
  <w:num w:numId="173">
    <w:abstractNumId w:val="159"/>
  </w:num>
  <w:num w:numId="174">
    <w:abstractNumId w:val="5"/>
  </w:num>
  <w:num w:numId="175">
    <w:abstractNumId w:val="66"/>
  </w:num>
  <w:num w:numId="176">
    <w:abstractNumId w:val="63"/>
  </w:num>
  <w:num w:numId="177">
    <w:abstractNumId w:val="3"/>
  </w:num>
  <w:num w:numId="178">
    <w:abstractNumId w:val="153"/>
  </w:num>
  <w:num w:numId="179">
    <w:abstractNumId w:val="168"/>
  </w:num>
  <w:num w:numId="180">
    <w:abstractNumId w:val="146"/>
  </w:num>
  <w:num w:numId="181">
    <w:abstractNumId w:val="179"/>
  </w:num>
  <w:num w:numId="182">
    <w:abstractNumId w:val="72"/>
  </w:num>
  <w:num w:numId="183">
    <w:abstractNumId w:val="50"/>
  </w:num>
  <w:num w:numId="184">
    <w:abstractNumId w:val="33"/>
  </w:num>
  <w:num w:numId="185">
    <w:abstractNumId w:val="106"/>
  </w:num>
  <w:num w:numId="186">
    <w:abstractNumId w:val="47"/>
  </w:num>
  <w:num w:numId="187">
    <w:abstractNumId w:val="81"/>
  </w:num>
  <w:num w:numId="188">
    <w:abstractNumId w:val="212"/>
  </w:num>
  <w:num w:numId="189">
    <w:abstractNumId w:val="139"/>
  </w:num>
  <w:num w:numId="190">
    <w:abstractNumId w:val="126"/>
  </w:num>
  <w:num w:numId="191">
    <w:abstractNumId w:val="116"/>
  </w:num>
  <w:num w:numId="192">
    <w:abstractNumId w:val="135"/>
  </w:num>
  <w:num w:numId="193">
    <w:abstractNumId w:val="201"/>
  </w:num>
  <w:num w:numId="194">
    <w:abstractNumId w:val="108"/>
  </w:num>
  <w:num w:numId="195">
    <w:abstractNumId w:val="111"/>
  </w:num>
  <w:num w:numId="196">
    <w:abstractNumId w:val="156"/>
  </w:num>
  <w:num w:numId="197">
    <w:abstractNumId w:val="191"/>
  </w:num>
  <w:num w:numId="198">
    <w:abstractNumId w:val="13"/>
  </w:num>
  <w:num w:numId="199">
    <w:abstractNumId w:val="170"/>
  </w:num>
  <w:num w:numId="200">
    <w:abstractNumId w:val="6"/>
  </w:num>
  <w:num w:numId="201">
    <w:abstractNumId w:val="43"/>
  </w:num>
  <w:num w:numId="202">
    <w:abstractNumId w:val="91"/>
  </w:num>
  <w:num w:numId="203">
    <w:abstractNumId w:val="145"/>
  </w:num>
  <w:num w:numId="204">
    <w:abstractNumId w:val="98"/>
  </w:num>
  <w:num w:numId="205">
    <w:abstractNumId w:val="56"/>
  </w:num>
  <w:num w:numId="206">
    <w:abstractNumId w:val="83"/>
  </w:num>
  <w:num w:numId="207">
    <w:abstractNumId w:val="64"/>
  </w:num>
  <w:num w:numId="208">
    <w:abstractNumId w:val="86"/>
  </w:num>
  <w:num w:numId="209">
    <w:abstractNumId w:val="27"/>
  </w:num>
  <w:num w:numId="210">
    <w:abstractNumId w:val="121"/>
  </w:num>
  <w:num w:numId="211">
    <w:abstractNumId w:val="110"/>
  </w:num>
  <w:num w:numId="212">
    <w:abstractNumId w:val="142"/>
  </w:num>
  <w:num w:numId="213">
    <w:abstractNumId w:val="114"/>
  </w:num>
  <w:num w:numId="214">
    <w:abstractNumId w:val="154"/>
  </w:num>
  <w:num w:numId="215">
    <w:abstractNumId w:val="28"/>
  </w:num>
  <w:num w:numId="216">
    <w:abstractNumId w:val="182"/>
  </w:num>
  <w:num w:numId="217">
    <w:abstractNumId w:val="67"/>
  </w:num>
  <w:num w:numId="218">
    <w:abstractNumId w:val="144"/>
  </w:num>
  <w:num w:numId="219">
    <w:abstractNumId w:val="118"/>
  </w:num>
  <w:num w:numId="220">
    <w:abstractNumId w:val="137"/>
  </w:num>
  <w:num w:numId="221">
    <w:abstractNumId w:val="172"/>
  </w:num>
  <w:num w:numId="222">
    <w:abstractNumId w:val="115"/>
  </w:num>
  <w:num w:numId="223">
    <w:abstractNumId w:val="152"/>
  </w:num>
  <w:num w:numId="224">
    <w:abstractNumId w:val="11"/>
  </w:num>
  <w:num w:numId="225">
    <w:abstractNumId w:val="169"/>
  </w:num>
  <w:num w:numId="226">
    <w:abstractNumId w:val="163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50A97"/>
    <w:rsid w:val="00051438"/>
    <w:rsid w:val="0005245E"/>
    <w:rsid w:val="00054CDC"/>
    <w:rsid w:val="00062495"/>
    <w:rsid w:val="00066D98"/>
    <w:rsid w:val="0007018F"/>
    <w:rsid w:val="00070F7F"/>
    <w:rsid w:val="00071F99"/>
    <w:rsid w:val="00074452"/>
    <w:rsid w:val="000751DE"/>
    <w:rsid w:val="00076549"/>
    <w:rsid w:val="00081144"/>
    <w:rsid w:val="000A4AB0"/>
    <w:rsid w:val="000B6A5B"/>
    <w:rsid w:val="000C1A1B"/>
    <w:rsid w:val="000C2BE4"/>
    <w:rsid w:val="000D0CA4"/>
    <w:rsid w:val="000D2731"/>
    <w:rsid w:val="000F7388"/>
    <w:rsid w:val="001029CB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1551"/>
    <w:rsid w:val="001C6270"/>
    <w:rsid w:val="001C7E40"/>
    <w:rsid w:val="001D20F9"/>
    <w:rsid w:val="001D4FDA"/>
    <w:rsid w:val="001D590F"/>
    <w:rsid w:val="001E09E2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A1591"/>
    <w:rsid w:val="002B126F"/>
    <w:rsid w:val="002B60E3"/>
    <w:rsid w:val="002D6559"/>
    <w:rsid w:val="002E1FEF"/>
    <w:rsid w:val="002E27BB"/>
    <w:rsid w:val="002F5812"/>
    <w:rsid w:val="002F615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F6A5B"/>
    <w:rsid w:val="003F6EBB"/>
    <w:rsid w:val="0040424F"/>
    <w:rsid w:val="00407EAF"/>
    <w:rsid w:val="00410C64"/>
    <w:rsid w:val="00417CA5"/>
    <w:rsid w:val="004205B8"/>
    <w:rsid w:val="00421BAC"/>
    <w:rsid w:val="004338FD"/>
    <w:rsid w:val="00433CD2"/>
    <w:rsid w:val="0045581A"/>
    <w:rsid w:val="0046486E"/>
    <w:rsid w:val="004666DE"/>
    <w:rsid w:val="00470BA2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B7FD3"/>
    <w:rsid w:val="005C0216"/>
    <w:rsid w:val="005C2A35"/>
    <w:rsid w:val="005C5AB7"/>
    <w:rsid w:val="005C6509"/>
    <w:rsid w:val="005D33F2"/>
    <w:rsid w:val="005D55AE"/>
    <w:rsid w:val="0060408F"/>
    <w:rsid w:val="00607CCF"/>
    <w:rsid w:val="0061225B"/>
    <w:rsid w:val="0062198A"/>
    <w:rsid w:val="006222E5"/>
    <w:rsid w:val="006377CE"/>
    <w:rsid w:val="0064079F"/>
    <w:rsid w:val="00646DD4"/>
    <w:rsid w:val="00664E8E"/>
    <w:rsid w:val="0067085E"/>
    <w:rsid w:val="006738B7"/>
    <w:rsid w:val="0068662F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D3E7F"/>
    <w:rsid w:val="006F3F29"/>
    <w:rsid w:val="00704D24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91DAA"/>
    <w:rsid w:val="0079306C"/>
    <w:rsid w:val="007A353D"/>
    <w:rsid w:val="007A7CEC"/>
    <w:rsid w:val="007B5476"/>
    <w:rsid w:val="007B5E57"/>
    <w:rsid w:val="007B7BCF"/>
    <w:rsid w:val="007C0E71"/>
    <w:rsid w:val="007C1F8A"/>
    <w:rsid w:val="007D0FF7"/>
    <w:rsid w:val="007E1CD3"/>
    <w:rsid w:val="007E4C66"/>
    <w:rsid w:val="007F3EE3"/>
    <w:rsid w:val="008036E5"/>
    <w:rsid w:val="008047EA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164FD"/>
    <w:rsid w:val="009169BF"/>
    <w:rsid w:val="00920345"/>
    <w:rsid w:val="009216FB"/>
    <w:rsid w:val="009252FD"/>
    <w:rsid w:val="0093439D"/>
    <w:rsid w:val="0093569F"/>
    <w:rsid w:val="00944411"/>
    <w:rsid w:val="00944C88"/>
    <w:rsid w:val="00945311"/>
    <w:rsid w:val="0094749B"/>
    <w:rsid w:val="009502DA"/>
    <w:rsid w:val="009547ED"/>
    <w:rsid w:val="00955AC8"/>
    <w:rsid w:val="00957FD6"/>
    <w:rsid w:val="00965198"/>
    <w:rsid w:val="00965BE8"/>
    <w:rsid w:val="00966B03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D63B9"/>
    <w:rsid w:val="009E1244"/>
    <w:rsid w:val="009F0BB6"/>
    <w:rsid w:val="009F3FD4"/>
    <w:rsid w:val="009F424F"/>
    <w:rsid w:val="009F53C8"/>
    <w:rsid w:val="00A05CDF"/>
    <w:rsid w:val="00A063A9"/>
    <w:rsid w:val="00A11536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E242B"/>
    <w:rsid w:val="00AE49F3"/>
    <w:rsid w:val="00AE6975"/>
    <w:rsid w:val="00B01CC5"/>
    <w:rsid w:val="00B0367E"/>
    <w:rsid w:val="00B07008"/>
    <w:rsid w:val="00B14D8E"/>
    <w:rsid w:val="00B1672A"/>
    <w:rsid w:val="00B27065"/>
    <w:rsid w:val="00B30E26"/>
    <w:rsid w:val="00B32353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36C4"/>
    <w:rsid w:val="00BB7305"/>
    <w:rsid w:val="00BC4BC3"/>
    <w:rsid w:val="00BC54BD"/>
    <w:rsid w:val="00BD2B32"/>
    <w:rsid w:val="00BD4864"/>
    <w:rsid w:val="00BE6B4F"/>
    <w:rsid w:val="00C0531F"/>
    <w:rsid w:val="00C13B3A"/>
    <w:rsid w:val="00C43675"/>
    <w:rsid w:val="00C46B82"/>
    <w:rsid w:val="00C5152A"/>
    <w:rsid w:val="00C566DB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4BA8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2A56"/>
    <w:rsid w:val="00D8264B"/>
    <w:rsid w:val="00D8291E"/>
    <w:rsid w:val="00DA05EB"/>
    <w:rsid w:val="00DB3391"/>
    <w:rsid w:val="00DD255C"/>
    <w:rsid w:val="00DD26D3"/>
    <w:rsid w:val="00DE632D"/>
    <w:rsid w:val="00DF3E14"/>
    <w:rsid w:val="00E05945"/>
    <w:rsid w:val="00E109D3"/>
    <w:rsid w:val="00E16B63"/>
    <w:rsid w:val="00E35E9A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45FA"/>
    <w:rsid w:val="00EB4CF9"/>
    <w:rsid w:val="00EC04DA"/>
    <w:rsid w:val="00EC27B3"/>
    <w:rsid w:val="00EC40D6"/>
    <w:rsid w:val="00EC41A0"/>
    <w:rsid w:val="00EC55F9"/>
    <w:rsid w:val="00ED573C"/>
    <w:rsid w:val="00ED7EB8"/>
    <w:rsid w:val="00EF171C"/>
    <w:rsid w:val="00EF5CBB"/>
    <w:rsid w:val="00F015E5"/>
    <w:rsid w:val="00F076DC"/>
    <w:rsid w:val="00F12278"/>
    <w:rsid w:val="00F23899"/>
    <w:rsid w:val="00F3086B"/>
    <w:rsid w:val="00F35532"/>
    <w:rsid w:val="00F40482"/>
    <w:rsid w:val="00F55554"/>
    <w:rsid w:val="00F610C4"/>
    <w:rsid w:val="00F634C7"/>
    <w:rsid w:val="00F65C02"/>
    <w:rsid w:val="00F67AEF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2BF4"/>
    <w:rsid w:val="00FC6C40"/>
    <w:rsid w:val="00FC7661"/>
    <w:rsid w:val="00FE26B8"/>
    <w:rsid w:val="00FE2A16"/>
    <w:rsid w:val="00FE42C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B08C"/>
  <w15:docId w15:val="{74DBC286-1B62-450F-9641-47DCC862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5F9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F9"/>
    <w:rPr>
      <w:rFonts w:ascii="Segoe UI" w:hAnsi="Segoe UI" w:cs="Segoe UI"/>
      <w:sz w:val="18"/>
      <w:szCs w:val="18"/>
    </w:rPr>
  </w:style>
  <w:style w:type="character" w:styleId="aa">
    <w:name w:val="Strong"/>
    <w:qFormat/>
    <w:rsid w:val="00EF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FEEA-01A2-43B6-A970-B29C2A6D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Elnikov</cp:lastModifiedBy>
  <cp:revision>7</cp:revision>
  <dcterms:created xsi:type="dcterms:W3CDTF">2018-04-14T16:03:00Z</dcterms:created>
  <dcterms:modified xsi:type="dcterms:W3CDTF">2020-04-14T18:00:00Z</dcterms:modified>
</cp:coreProperties>
</file>