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510"/>
        <w:gridCol w:w="5777"/>
      </w:tblGrid>
      <w:tr w:rsidR="00607016" w:rsidRPr="00C33BA5" w:rsidTr="00FC1244">
        <w:tc>
          <w:tcPr>
            <w:tcW w:w="9288" w:type="dxa"/>
            <w:gridSpan w:val="2"/>
          </w:tcPr>
          <w:p w:rsidR="00607016" w:rsidRPr="00C33BA5" w:rsidRDefault="00AA6F44" w:rsidP="00620D64">
            <w:pPr>
              <w:spacing w:after="0" w:line="240" w:lineRule="auto"/>
              <w:jc w:val="center"/>
              <w:rPr>
                <w:rFonts w:ascii="Times New Roman" w:hAnsi="Times New Roman" w:cs="Times New Roman"/>
                <w:sz w:val="28"/>
                <w:szCs w:val="28"/>
              </w:rPr>
            </w:pPr>
            <w:r w:rsidRPr="00C33BA5">
              <w:rPr>
                <w:rFonts w:ascii="Times New Roman" w:hAnsi="Times New Roman" w:cs="Times New Roman"/>
                <w:sz w:val="28"/>
                <w:szCs w:val="28"/>
              </w:rPr>
              <w:t>Державний університет «Житомирська політехніка»</w:t>
            </w:r>
          </w:p>
          <w:p w:rsidR="00607016" w:rsidRPr="00C33BA5" w:rsidRDefault="00607016" w:rsidP="00620D64">
            <w:pPr>
              <w:spacing w:after="0" w:line="240" w:lineRule="auto"/>
              <w:jc w:val="center"/>
              <w:rPr>
                <w:rFonts w:ascii="Times New Roman" w:hAnsi="Times New Roman" w:cs="Times New Roman"/>
                <w:sz w:val="28"/>
                <w:szCs w:val="28"/>
              </w:rPr>
            </w:pPr>
            <w:r w:rsidRPr="00C33BA5">
              <w:rPr>
                <w:rFonts w:ascii="Times New Roman" w:hAnsi="Times New Roman" w:cs="Times New Roman"/>
                <w:sz w:val="28"/>
                <w:szCs w:val="28"/>
              </w:rPr>
              <w:t xml:space="preserve">Факультет </w:t>
            </w:r>
            <w:r w:rsidR="00AA6F44" w:rsidRPr="00C33BA5">
              <w:rPr>
                <w:rFonts w:ascii="Times New Roman" w:hAnsi="Times New Roman" w:cs="Times New Roman"/>
                <w:sz w:val="28"/>
                <w:szCs w:val="28"/>
              </w:rPr>
              <w:t>Бізнесу та сфери обслуговування</w:t>
            </w:r>
          </w:p>
          <w:p w:rsidR="00607016" w:rsidRPr="00C33BA5" w:rsidRDefault="00607016" w:rsidP="00620D64">
            <w:pPr>
              <w:spacing w:after="0" w:line="240" w:lineRule="auto"/>
              <w:jc w:val="center"/>
              <w:rPr>
                <w:rFonts w:ascii="Times New Roman" w:hAnsi="Times New Roman" w:cs="Times New Roman"/>
                <w:sz w:val="28"/>
                <w:szCs w:val="28"/>
              </w:rPr>
            </w:pPr>
            <w:r w:rsidRPr="00C33BA5">
              <w:rPr>
                <w:rFonts w:ascii="Times New Roman" w:hAnsi="Times New Roman" w:cs="Times New Roman"/>
                <w:sz w:val="28"/>
                <w:szCs w:val="28"/>
              </w:rPr>
              <w:t xml:space="preserve">Кафедра </w:t>
            </w:r>
            <w:r w:rsidR="00AA6F44" w:rsidRPr="00C33BA5">
              <w:rPr>
                <w:rFonts w:ascii="Times New Roman" w:hAnsi="Times New Roman" w:cs="Times New Roman"/>
                <w:sz w:val="28"/>
                <w:szCs w:val="28"/>
              </w:rPr>
              <w:t>менеджменту і підприємництва</w:t>
            </w:r>
          </w:p>
          <w:p w:rsidR="00607016" w:rsidRPr="00C33BA5" w:rsidRDefault="00607016" w:rsidP="00620D64">
            <w:pPr>
              <w:spacing w:after="0" w:line="240" w:lineRule="auto"/>
              <w:jc w:val="center"/>
              <w:rPr>
                <w:rFonts w:ascii="Times New Roman" w:hAnsi="Times New Roman" w:cs="Times New Roman"/>
                <w:sz w:val="28"/>
                <w:szCs w:val="28"/>
              </w:rPr>
            </w:pPr>
            <w:r w:rsidRPr="00C33BA5">
              <w:rPr>
                <w:rFonts w:ascii="Times New Roman" w:hAnsi="Times New Roman" w:cs="Times New Roman"/>
                <w:sz w:val="28"/>
                <w:szCs w:val="28"/>
              </w:rPr>
              <w:t xml:space="preserve">Спеціальність: </w:t>
            </w:r>
            <w:r w:rsidR="00C33BA5" w:rsidRPr="00C33BA5">
              <w:rPr>
                <w:rFonts w:ascii="Times New Roman" w:hAnsi="Times New Roman" w:cs="Times New Roman"/>
                <w:sz w:val="28"/>
                <w:szCs w:val="28"/>
              </w:rPr>
              <w:t>072</w:t>
            </w:r>
            <w:r w:rsidR="00DF42A0" w:rsidRPr="00C33BA5">
              <w:rPr>
                <w:rFonts w:ascii="Times New Roman" w:hAnsi="Times New Roman" w:cs="Times New Roman"/>
                <w:sz w:val="28"/>
                <w:szCs w:val="28"/>
              </w:rPr>
              <w:t xml:space="preserve"> «</w:t>
            </w:r>
            <w:r w:rsidR="00C33BA5" w:rsidRPr="00C33BA5">
              <w:rPr>
                <w:rFonts w:ascii="Times New Roman" w:hAnsi="Times New Roman" w:cs="Times New Roman"/>
                <w:sz w:val="28"/>
                <w:szCs w:val="28"/>
              </w:rPr>
              <w:t>Фінанси, банківська справа та страхування</w:t>
            </w:r>
            <w:r w:rsidR="00DF42A0" w:rsidRPr="00C33BA5">
              <w:rPr>
                <w:rFonts w:ascii="Times New Roman" w:hAnsi="Times New Roman" w:cs="Times New Roman"/>
                <w:sz w:val="28"/>
                <w:szCs w:val="28"/>
              </w:rPr>
              <w:t>»</w:t>
            </w:r>
          </w:p>
          <w:p w:rsidR="00607016" w:rsidRPr="00C33BA5" w:rsidRDefault="00607016" w:rsidP="00620D64">
            <w:pPr>
              <w:spacing w:after="0" w:line="240" w:lineRule="auto"/>
              <w:jc w:val="center"/>
              <w:rPr>
                <w:rFonts w:ascii="Times New Roman" w:hAnsi="Times New Roman" w:cs="Times New Roman"/>
                <w:sz w:val="28"/>
                <w:szCs w:val="28"/>
              </w:rPr>
            </w:pPr>
            <w:r w:rsidRPr="00C33BA5">
              <w:rPr>
                <w:rFonts w:ascii="Times New Roman" w:hAnsi="Times New Roman" w:cs="Times New Roman"/>
                <w:sz w:val="28"/>
                <w:szCs w:val="28"/>
              </w:rPr>
              <w:t xml:space="preserve">Освітній </w:t>
            </w:r>
            <w:r w:rsidR="00774E29" w:rsidRPr="00C33BA5">
              <w:rPr>
                <w:rFonts w:ascii="Times New Roman" w:hAnsi="Times New Roman" w:cs="Times New Roman"/>
                <w:sz w:val="28"/>
                <w:szCs w:val="28"/>
              </w:rPr>
              <w:t>ступень</w:t>
            </w:r>
            <w:r w:rsidRPr="00C33BA5">
              <w:rPr>
                <w:rFonts w:ascii="Times New Roman" w:hAnsi="Times New Roman" w:cs="Times New Roman"/>
                <w:sz w:val="28"/>
                <w:szCs w:val="28"/>
              </w:rPr>
              <w:t>: «бакалавр»</w:t>
            </w:r>
          </w:p>
        </w:tc>
      </w:tr>
      <w:tr w:rsidR="00607016" w:rsidRPr="00620D64" w:rsidTr="00FC1244">
        <w:tc>
          <w:tcPr>
            <w:tcW w:w="3510" w:type="dxa"/>
          </w:tcPr>
          <w:p w:rsidR="00607016" w:rsidRPr="00620D64" w:rsidRDefault="00607016" w:rsidP="00620D64">
            <w:pPr>
              <w:spacing w:after="0" w:line="240" w:lineRule="auto"/>
              <w:jc w:val="both"/>
              <w:rPr>
                <w:rFonts w:ascii="Times New Roman" w:hAnsi="Times New Roman" w:cs="Times New Roman"/>
                <w:sz w:val="28"/>
                <w:szCs w:val="28"/>
              </w:rPr>
            </w:pP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«ЗАТВЕРДЖУЮ»</w:t>
            </w: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Проректор з НПР</w:t>
            </w:r>
          </w:p>
          <w:p w:rsidR="00607016" w:rsidRPr="00620D64" w:rsidRDefault="00607016" w:rsidP="00620D64">
            <w:pPr>
              <w:spacing w:after="0" w:line="240" w:lineRule="auto"/>
              <w:jc w:val="both"/>
              <w:rPr>
                <w:rFonts w:ascii="Times New Roman" w:hAnsi="Times New Roman" w:cs="Times New Roman"/>
                <w:sz w:val="28"/>
                <w:szCs w:val="28"/>
              </w:rPr>
            </w:pP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_______</w:t>
            </w:r>
            <w:r w:rsidR="00CC7C27" w:rsidRPr="00620D64">
              <w:rPr>
                <w:rFonts w:ascii="Times New Roman" w:hAnsi="Times New Roman" w:cs="Times New Roman"/>
                <w:sz w:val="28"/>
                <w:szCs w:val="28"/>
              </w:rPr>
              <w:t>А.В. Морозов</w:t>
            </w:r>
          </w:p>
          <w:p w:rsidR="00607016" w:rsidRPr="00620D64" w:rsidRDefault="00607016" w:rsidP="00620D64">
            <w:pPr>
              <w:spacing w:after="0" w:line="240" w:lineRule="auto"/>
              <w:jc w:val="both"/>
              <w:rPr>
                <w:rFonts w:ascii="Times New Roman" w:hAnsi="Times New Roman" w:cs="Times New Roman"/>
                <w:sz w:val="28"/>
                <w:szCs w:val="28"/>
              </w:rPr>
            </w:pP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«__» ________20</w:t>
            </w:r>
            <w:r w:rsidR="00AA6F44">
              <w:rPr>
                <w:rFonts w:ascii="Times New Roman" w:hAnsi="Times New Roman" w:cs="Times New Roman"/>
                <w:sz w:val="28"/>
                <w:szCs w:val="28"/>
              </w:rPr>
              <w:t>__</w:t>
            </w:r>
            <w:r w:rsidRPr="00620D64">
              <w:rPr>
                <w:rFonts w:ascii="Times New Roman" w:hAnsi="Times New Roman" w:cs="Times New Roman"/>
                <w:sz w:val="28"/>
                <w:szCs w:val="28"/>
              </w:rPr>
              <w:t> р.</w:t>
            </w:r>
          </w:p>
          <w:p w:rsidR="00607016" w:rsidRPr="00620D64" w:rsidRDefault="00607016" w:rsidP="00620D64">
            <w:pPr>
              <w:spacing w:after="0" w:line="240" w:lineRule="auto"/>
              <w:jc w:val="both"/>
              <w:rPr>
                <w:rFonts w:ascii="Times New Roman" w:hAnsi="Times New Roman" w:cs="Times New Roman"/>
                <w:sz w:val="28"/>
                <w:szCs w:val="28"/>
              </w:rPr>
            </w:pPr>
          </w:p>
        </w:tc>
        <w:tc>
          <w:tcPr>
            <w:tcW w:w="5778" w:type="dxa"/>
          </w:tcPr>
          <w:p w:rsidR="00607016" w:rsidRPr="00620D64" w:rsidRDefault="00607016" w:rsidP="00620D64">
            <w:pPr>
              <w:spacing w:after="0" w:line="240" w:lineRule="auto"/>
              <w:jc w:val="both"/>
              <w:rPr>
                <w:rFonts w:ascii="Times New Roman" w:hAnsi="Times New Roman" w:cs="Times New Roman"/>
                <w:sz w:val="28"/>
                <w:szCs w:val="28"/>
              </w:rPr>
            </w:pP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Затверджено на засіданні кафедри </w:t>
            </w:r>
            <w:r w:rsidR="00AA6F44">
              <w:rPr>
                <w:rFonts w:ascii="Times New Roman" w:hAnsi="Times New Roman" w:cs="Times New Roman"/>
                <w:sz w:val="28"/>
                <w:szCs w:val="28"/>
              </w:rPr>
              <w:t>менеджменту і</w:t>
            </w:r>
            <w:r w:rsidRPr="00620D64">
              <w:rPr>
                <w:rFonts w:ascii="Times New Roman" w:hAnsi="Times New Roman" w:cs="Times New Roman"/>
                <w:sz w:val="28"/>
                <w:szCs w:val="28"/>
              </w:rPr>
              <w:t xml:space="preserve"> підприємництва</w:t>
            </w: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про</w:t>
            </w:r>
            <w:r w:rsidR="00AA6F44">
              <w:rPr>
                <w:rFonts w:ascii="Times New Roman" w:hAnsi="Times New Roman" w:cs="Times New Roman"/>
                <w:sz w:val="28"/>
                <w:szCs w:val="28"/>
              </w:rPr>
              <w:t>токол №__ від «__»__________ 20__</w:t>
            </w:r>
            <w:r w:rsidRPr="00620D64">
              <w:rPr>
                <w:rFonts w:ascii="Times New Roman" w:hAnsi="Times New Roman" w:cs="Times New Roman"/>
                <w:sz w:val="28"/>
                <w:szCs w:val="28"/>
              </w:rPr>
              <w:t> р.</w:t>
            </w: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Завідувач кафедри _________</w:t>
            </w:r>
            <w:r w:rsidR="00AA6F44">
              <w:rPr>
                <w:rFonts w:ascii="Times New Roman" w:hAnsi="Times New Roman" w:cs="Times New Roman"/>
                <w:sz w:val="28"/>
                <w:szCs w:val="28"/>
              </w:rPr>
              <w:t>Т.П. Остапчук</w:t>
            </w:r>
          </w:p>
          <w:p w:rsidR="00607016" w:rsidRPr="00620D64" w:rsidRDefault="00607016" w:rsidP="00620D64">
            <w:pPr>
              <w:spacing w:after="0" w:line="240" w:lineRule="auto"/>
              <w:jc w:val="both"/>
              <w:rPr>
                <w:rFonts w:ascii="Times New Roman" w:hAnsi="Times New Roman" w:cs="Times New Roman"/>
                <w:sz w:val="28"/>
                <w:szCs w:val="28"/>
              </w:rPr>
            </w:pP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«__» ___________20</w:t>
            </w:r>
            <w:r w:rsidR="00AA6F44">
              <w:rPr>
                <w:rFonts w:ascii="Times New Roman" w:hAnsi="Times New Roman" w:cs="Times New Roman"/>
                <w:sz w:val="28"/>
                <w:szCs w:val="28"/>
              </w:rPr>
              <w:t>__</w:t>
            </w:r>
            <w:r w:rsidRPr="00620D64">
              <w:rPr>
                <w:rFonts w:ascii="Times New Roman" w:hAnsi="Times New Roman" w:cs="Times New Roman"/>
                <w:sz w:val="28"/>
                <w:szCs w:val="28"/>
              </w:rPr>
              <w:t> р.</w:t>
            </w:r>
          </w:p>
          <w:p w:rsidR="00607016" w:rsidRPr="00620D64" w:rsidRDefault="00607016" w:rsidP="00620D64">
            <w:pPr>
              <w:spacing w:after="0" w:line="240" w:lineRule="auto"/>
              <w:jc w:val="both"/>
              <w:rPr>
                <w:rFonts w:ascii="Times New Roman" w:hAnsi="Times New Roman" w:cs="Times New Roman"/>
                <w:sz w:val="28"/>
                <w:szCs w:val="28"/>
              </w:rPr>
            </w:pPr>
          </w:p>
        </w:tc>
      </w:tr>
      <w:tr w:rsidR="00607016" w:rsidRPr="00620D64" w:rsidTr="00FC1244">
        <w:tc>
          <w:tcPr>
            <w:tcW w:w="9288" w:type="dxa"/>
            <w:gridSpan w:val="2"/>
          </w:tcPr>
          <w:p w:rsidR="00607016" w:rsidRPr="00620D64" w:rsidRDefault="00607016" w:rsidP="00620D64">
            <w:pPr>
              <w:spacing w:after="0" w:line="240" w:lineRule="auto"/>
              <w:jc w:val="center"/>
              <w:rPr>
                <w:rFonts w:ascii="Times New Roman" w:hAnsi="Times New Roman" w:cs="Times New Roman"/>
                <w:sz w:val="28"/>
                <w:szCs w:val="28"/>
              </w:rPr>
            </w:pPr>
            <w:r w:rsidRPr="00620D64">
              <w:rPr>
                <w:rFonts w:ascii="Times New Roman" w:hAnsi="Times New Roman" w:cs="Times New Roman"/>
                <w:sz w:val="28"/>
                <w:szCs w:val="28"/>
              </w:rPr>
              <w:t xml:space="preserve">ТЕСТОВІ ЗАВДАННЯ </w:t>
            </w:r>
          </w:p>
          <w:p w:rsidR="00607016" w:rsidRPr="00620D64" w:rsidRDefault="00AA6F44" w:rsidP="00620D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ПІДПРИЄМНИЦТВО ТА ОСНОВИ БІЗНЕСУ</w:t>
            </w:r>
          </w:p>
        </w:tc>
      </w:tr>
    </w:tbl>
    <w:p w:rsidR="00607016" w:rsidRPr="00620D64" w:rsidRDefault="00607016" w:rsidP="00620D64">
      <w:pPr>
        <w:spacing w:after="0" w:line="240" w:lineRule="auto"/>
        <w:rPr>
          <w:rFonts w:ascii="Times New Roman" w:hAnsi="Times New Roman" w:cs="Times New Roman"/>
          <w:sz w:val="28"/>
          <w:szCs w:val="28"/>
        </w:rPr>
      </w:pPr>
    </w:p>
    <w:tbl>
      <w:tblPr>
        <w:tblStyle w:val="a3"/>
        <w:tblW w:w="0" w:type="auto"/>
        <w:tblLook w:val="04A0"/>
      </w:tblPr>
      <w:tblGrid>
        <w:gridCol w:w="732"/>
        <w:gridCol w:w="5527"/>
        <w:gridCol w:w="3595"/>
      </w:tblGrid>
      <w:tr w:rsidR="00620D64" w:rsidRPr="00620D64" w:rsidTr="00632451">
        <w:tc>
          <w:tcPr>
            <w:tcW w:w="732" w:type="dxa"/>
            <w:vAlign w:val="center"/>
          </w:tcPr>
          <w:p w:rsidR="00620D64" w:rsidRPr="00620D64" w:rsidRDefault="00620D64" w:rsidP="00620D64">
            <w:pPr>
              <w:spacing w:after="0" w:line="240" w:lineRule="auto"/>
              <w:jc w:val="center"/>
              <w:rPr>
                <w:rFonts w:ascii="Times New Roman" w:hAnsi="Times New Roman" w:cs="Times New Roman"/>
                <w:sz w:val="28"/>
                <w:szCs w:val="28"/>
              </w:rPr>
            </w:pPr>
            <w:r w:rsidRPr="00620D64">
              <w:rPr>
                <w:rFonts w:ascii="Times New Roman" w:hAnsi="Times New Roman" w:cs="Times New Roman"/>
                <w:sz w:val="28"/>
                <w:szCs w:val="28"/>
              </w:rPr>
              <w:t>№</w:t>
            </w:r>
          </w:p>
          <w:p w:rsidR="00620D64" w:rsidRPr="00620D64" w:rsidRDefault="00620D64" w:rsidP="00620D64">
            <w:pPr>
              <w:spacing w:after="0" w:line="240" w:lineRule="auto"/>
              <w:jc w:val="center"/>
              <w:rPr>
                <w:rFonts w:ascii="Times New Roman" w:hAnsi="Times New Roman" w:cs="Times New Roman"/>
                <w:sz w:val="28"/>
                <w:szCs w:val="28"/>
              </w:rPr>
            </w:pPr>
            <w:r w:rsidRPr="00620D64">
              <w:rPr>
                <w:rFonts w:ascii="Times New Roman" w:hAnsi="Times New Roman" w:cs="Times New Roman"/>
                <w:sz w:val="28"/>
                <w:szCs w:val="28"/>
              </w:rPr>
              <w:t>п/п</w:t>
            </w:r>
          </w:p>
        </w:tc>
        <w:tc>
          <w:tcPr>
            <w:tcW w:w="5527" w:type="dxa"/>
            <w:vAlign w:val="center"/>
          </w:tcPr>
          <w:p w:rsidR="00620D64" w:rsidRPr="00620D64" w:rsidRDefault="00620D64" w:rsidP="00620D64">
            <w:pPr>
              <w:spacing w:after="0" w:line="240" w:lineRule="auto"/>
              <w:jc w:val="center"/>
              <w:rPr>
                <w:rFonts w:ascii="Times New Roman" w:hAnsi="Times New Roman" w:cs="Times New Roman"/>
                <w:sz w:val="28"/>
                <w:szCs w:val="28"/>
              </w:rPr>
            </w:pPr>
            <w:r w:rsidRPr="00620D64">
              <w:rPr>
                <w:rFonts w:ascii="Times New Roman" w:hAnsi="Times New Roman" w:cs="Times New Roman"/>
                <w:sz w:val="28"/>
                <w:szCs w:val="28"/>
              </w:rPr>
              <w:t>Текст завдання</w:t>
            </w:r>
          </w:p>
        </w:tc>
        <w:tc>
          <w:tcPr>
            <w:tcW w:w="3595" w:type="dxa"/>
            <w:vAlign w:val="center"/>
          </w:tcPr>
          <w:p w:rsidR="00620D64" w:rsidRPr="00620D64" w:rsidRDefault="00620D64" w:rsidP="00620D64">
            <w:pPr>
              <w:spacing w:after="0" w:line="240" w:lineRule="auto"/>
              <w:jc w:val="center"/>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Формами організації суспільного виробництва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Основними рисами натурального господарства не є:</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Матеріальною основою виникнення товарного виробництва є:</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Продукт праці, який задовольняє певну потребу людини і виготовлений з метою обміну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Сфера обміну, в якій обмін товарів здійснюється за суспільною оцінкою, що знаходить своє відображення у ціні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ринку, яка визначає суспільну значущість виробленого продукту та витраченої на його виробництво праці,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ринку, яка забезпечує збалансованість економіки, диференціює доходи товаровиробників, виявляє ефективно та неефективно функціонуючих товаровиробників,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Функція ринку, яка сприяє заохоченню тих товаровиробників, які найбільш раціонально використовують фактори виробництва для одержання найкращих результатів, спонукає зростання </w:t>
            </w:r>
            <w:r w:rsidRPr="00620D64">
              <w:rPr>
                <w:rFonts w:ascii="Times New Roman" w:hAnsi="Times New Roman" w:cs="Times New Roman"/>
                <w:sz w:val="28"/>
                <w:szCs w:val="28"/>
              </w:rPr>
              <w:lastRenderedPageBreak/>
              <w:t>продуктивності праці, використання нової техніки тощо,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9.</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ринку, що об’єднує економіку в одне ціле, розкриваючи систему горизонтальних і вертикальних зв’язків, у тому числі зовнішньоекономічних,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Фізичні та юридичні особи, що вступають до економічних відносин товарообміну та послуг в одних випадках як споживачі, в інших – як виробники – це:</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Вперше поняття «підприємець» у науковий обіг ввів:</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Самостійність підприємницької діяльності означає:</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Систематичність підп</w:t>
            </w:r>
            <w:r>
              <w:rPr>
                <w:rFonts w:ascii="Times New Roman" w:hAnsi="Times New Roman" w:cs="Times New Roman"/>
                <w:sz w:val="28"/>
                <w:szCs w:val="28"/>
              </w:rPr>
              <w:t>риємницької діяльності означає:</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підприємництва, пов’язана з матеріально-технічним забезпеченням виробництва, налагодженням технологічного процесу, організацією діяльністю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підприємництва, яка дозволяє створити механізм підвищення ефективності та корисності праці, застосувати дійові методи стимулювання збуту товарів на основі виявлених споживчих потреб,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підприємництва, пов’язана із розробкою нових бізнес-ідей, ноу-хау, винаходів,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підприємництва, пов’язана із мобілізацією внутрішніх та зовнішніх ресурсів для ефективного функціонування,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Суб’єктами підприємництва можуть бути:</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Об’єкти підприємницької діяльності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Поняття «бізнес» та «підприємництво»</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Згідно Господарського Кодексу, діяльність суб’єктів </w:t>
            </w:r>
            <w:r w:rsidRPr="00620D64">
              <w:rPr>
                <w:rFonts w:ascii="Times New Roman" w:hAnsi="Times New Roman" w:cs="Times New Roman"/>
                <w:color w:val="000000"/>
                <w:sz w:val="28"/>
                <w:szCs w:val="28"/>
                <w:shd w:val="clear" w:color="auto" w:fill="FFFFFF"/>
              </w:rPr>
              <w:t xml:space="preserve">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w:t>
            </w:r>
            <w:r w:rsidRPr="00620D64">
              <w:rPr>
                <w:rFonts w:ascii="Times New Roman" w:hAnsi="Times New Roman" w:cs="Times New Roman"/>
                <w:color w:val="000000"/>
                <w:sz w:val="28"/>
                <w:szCs w:val="28"/>
                <w:shd w:val="clear" w:color="auto" w:fill="FFFFFF"/>
              </w:rPr>
              <w:lastRenderedPageBreak/>
              <w:t>визначеність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22.</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Згідно Господарського Кодексу, </w:t>
            </w:r>
            <w:r w:rsidRPr="00620D64">
              <w:rPr>
                <w:rFonts w:ascii="Times New Roman" w:hAnsi="Times New Roman" w:cs="Times New Roman"/>
                <w:color w:val="000000"/>
                <w:sz w:val="28"/>
                <w:szCs w:val="28"/>
                <w:shd w:val="clear" w:color="auto" w:fill="FFFFFF"/>
              </w:rPr>
              <w:t>самостійна, ініціативна, систематична, на власний ризик господарська діяльність, що здійснюється суб'єктами господарювання (підприємцями) з метою досягнення економічних і соціальних результатів та одержання прибутку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Згідно Господарського Кодексу, підприємці мають право здійснювати будь-яку підприємницьку діяльність, яку: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Згідно Господарського Кодексу, перелік видів господарської діяльності, що підлягають ліцензуванню, а також перелік видів діяльності, підприємництво в яких забороняється, встановлюються: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Згідно Господарського Кодексу, підприємництво в Україні здійснюється: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Згідно Господарського Кодексу, с</w:t>
            </w:r>
            <w:r w:rsidRPr="00620D64">
              <w:rPr>
                <w:rFonts w:ascii="Times New Roman" w:hAnsi="Times New Roman" w:cs="Times New Roman"/>
                <w:color w:val="000000"/>
                <w:sz w:val="28"/>
                <w:szCs w:val="28"/>
                <w:shd w:val="clear" w:color="auto" w:fill="FFFFFF"/>
              </w:rPr>
              <w:t>амостійна систематична господарська діяльність, що здійснюється суб'єктами господарювання, спрямована на досягнення економічних, соціальних та інших результатів без мети одержання прибутку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color w:val="000000"/>
                <w:sz w:val="28"/>
                <w:szCs w:val="28"/>
                <w:shd w:val="clear" w:color="auto" w:fill="FFFFFF"/>
              </w:rPr>
              <w:t>Згідно Господарського Кодексу, учасники господарських відносин, які здійснюють господарську діяльність, реалізуючи господарську компетенцію (сукупність господарських прав та обов'язків), мають відокремлене майно і несуть відповідальність за своїми зобов'язаннями в межах цього майна, крім випадків, передбачених законодавством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Згідно Господарського Кодексу, суб’єктами господарювання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Згідно Господарського Кодексу, </w:t>
            </w:r>
            <w:r w:rsidRPr="00620D64">
              <w:rPr>
                <w:rFonts w:ascii="Times New Roman" w:hAnsi="Times New Roman" w:cs="Times New Roman"/>
                <w:color w:val="000000"/>
                <w:sz w:val="28"/>
                <w:szCs w:val="28"/>
                <w:shd w:val="clear" w:color="auto" w:fill="FFFFFF"/>
              </w:rPr>
              <w:t xml:space="preserve">фізичні особи, зареєстровані в установленому законом порядку як фізичні особи - підприємці, та 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10 осіб та річний дохід від будь-якої </w:t>
            </w:r>
            <w:r w:rsidRPr="00620D64">
              <w:rPr>
                <w:rFonts w:ascii="Times New Roman" w:hAnsi="Times New Roman" w:cs="Times New Roman"/>
                <w:color w:val="000000"/>
                <w:sz w:val="28"/>
                <w:szCs w:val="28"/>
                <w:shd w:val="clear" w:color="auto" w:fill="FFFFFF"/>
              </w:rPr>
              <w:lastRenderedPageBreak/>
              <w:t>діяльності не перевищує суму, еквівалентну 2 мільйонам євро, визначену за середньорічним курсом Національного банку України, є:</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30.</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color w:val="000000"/>
                <w:sz w:val="28"/>
                <w:szCs w:val="28"/>
                <w:shd w:val="clear" w:color="auto" w:fill="FFFFFF"/>
              </w:rPr>
              <w:t>Згідно Господарського Кодексу, 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перевищує 250 осіб та річний дохід від будь-якої діяльності перевищує суму, еквівалентну 50 мільйонам євро, визначену за середньорічним курсом Національного банку України є:</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color w:val="000000"/>
                <w:sz w:val="28"/>
                <w:szCs w:val="28"/>
                <w:shd w:val="clear" w:color="auto" w:fill="FFFFFF"/>
              </w:rPr>
              <w:t>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Господарським Кодексом та іншими законами,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підприємства, яка полягає у створенні товарів і послуг для задоволення потреб населення з найменшими витратами на виробництво та реалізацію,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Функція підприємства, яка полягає у створенні робочих місць, поліпшенні умов праці, створенні сприятливого психологічного клімату у трудовому колективі, називається: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Підприємство, що діє на основі власності територіальної громади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35.</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Підприємство визнається підприємством з іноземними інвестиціями якщо: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Підприємство створене одним засновником (юридичною чи фізичною особою)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Договірне об’єднання підприємств, створене з метою постійної координації господарської діяльності без права </w:t>
            </w:r>
            <w:r w:rsidRPr="00620D64">
              <w:rPr>
                <w:rFonts w:ascii="Times New Roman" w:hAnsi="Times New Roman" w:cs="Times New Roman"/>
                <w:sz w:val="28"/>
                <w:szCs w:val="28"/>
              </w:rPr>
              <w:lastRenderedPageBreak/>
              <w:t>втручання у виробничу і комерційну діяльність учасників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38.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Тимчасове статутне об’єднання промислового і банківського капіталу для досягнення спільної мети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color w:val="000000"/>
                <w:sz w:val="28"/>
                <w:szCs w:val="28"/>
                <w:shd w:val="clear" w:color="auto" w:fill="FFFFFF"/>
              </w:rPr>
              <w:t>Статутне об'єднання підприємств, а також інших організацій, на основі їх фінансової залежності від одного або групи учасників об'єднання, з централізацією функцій науково-технічного і виробничого розвитку, інвестиційної, фінансової, зовнішньоекономічної та іншої діяльності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Статутний фонд акціонерного товариства не може бути меншим суми, еквівалентної:</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Підприємництво орієнтоване на виробництво традиційних товарів для постачання на ринок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Загальна схема виробничого підприємництва не включає: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Скорочення кількості найменувань робіт, операцій на кожному робочому місці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Виготовлення однакової кількості продукції за рівні проміжки часу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Ведення роботи без будь-яких перерв або зведення їх до мінімуму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Забезпечення найкоротшого шляху проходження предметів праці по усім стадіям виробничого процесу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способів відношення підприємця-виробника до споживача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Невеликі інноваційні підприємства, дуже гнучкі, ефективні, які створюються з метою апробації, доробки, доведення до промислової реалізації «ризикованих» інновацій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49.</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Виробниче підприємництво, результатом якого виступає новий (раніше не існуючий) товар або товар з принципово новими характеристиками, властивостями або сферами використання,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50.</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Вид </w:t>
            </w:r>
            <w:proofErr w:type="spellStart"/>
            <w:r w:rsidRPr="00620D64">
              <w:rPr>
                <w:rFonts w:ascii="Times New Roman" w:hAnsi="Times New Roman" w:cs="Times New Roman"/>
                <w:sz w:val="28"/>
                <w:szCs w:val="28"/>
              </w:rPr>
              <w:t>технопаркової</w:t>
            </w:r>
            <w:proofErr w:type="spellEnd"/>
            <w:r w:rsidRPr="00620D64">
              <w:rPr>
                <w:rFonts w:ascii="Times New Roman" w:hAnsi="Times New Roman" w:cs="Times New Roman"/>
                <w:sz w:val="28"/>
                <w:szCs w:val="28"/>
              </w:rPr>
              <w:t xml:space="preserve"> структури, якій являє собою центр допомоги новостворюваним підприємствам, який є </w:t>
            </w:r>
            <w:r w:rsidRPr="00620D64">
              <w:rPr>
                <w:rFonts w:ascii="Times New Roman" w:hAnsi="Times New Roman" w:cs="Times New Roman"/>
                <w:sz w:val="28"/>
                <w:szCs w:val="28"/>
              </w:rPr>
              <w:lastRenderedPageBreak/>
              <w:t>багатофункціональним комплексом, орієнтованим на реалізацію широкого спектру інноваційних послуг, називається:</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51.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Підприємництво, пов’язане із здійсненням процесів купівлі-продажу товарів для задоволення попиту покупців (споживачів) та отримання прибутку,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Функції, процеси та операції, які виконуються в сфері товарного обертання, поділяються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технологічних процесів, які пов’язані з рухом товарів та є продовженням процесу виробництва у сфері обертання, не відносяться: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Процеси, пов’язані із зміною форми вартості, тобто з купівлею та продажем товарів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Стаціонарні пункти роздрібного продажу товарів, що займають окремі приміщення або будівлі та мають торговельний зал для покупців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 товарною спеціалізацією магазини поділяються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Специфічна організаційна форма у комерційному підприємництві, що є недержавною неприбутковою самоврядною організацією, яка об’єднує юридичних осіб, що створені і діють відповідно до законодавства України, та громадян України, зареєстрованих як підприємці, та їх об’єднання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Прибуток посередника формується у вигляді:</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Посередник, який продає товар зі свого складу на підставі консигнаційної угоди,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Посередник, який організує та проводить аукціонну торгівлю,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Сторонами договору комісії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Оптовик-посередник, що займається реалізацією товарів шляхом розсилання каталогів потенційним покупцям:</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Постійно функціонуючий ринок, на якому здійснюється оптова торгівля,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64.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Оберіть вірне твердження: «</w:t>
            </w:r>
            <w:proofErr w:type="spellStart"/>
            <w:r w:rsidRPr="00620D64">
              <w:rPr>
                <w:rFonts w:ascii="Times New Roman" w:hAnsi="Times New Roman" w:cs="Times New Roman"/>
                <w:sz w:val="28"/>
                <w:szCs w:val="28"/>
              </w:rPr>
              <w:t>Мерчандайзер</w:t>
            </w:r>
            <w:proofErr w:type="spellEnd"/>
            <w:r w:rsidRPr="00620D64">
              <w:rPr>
                <w:rFonts w:ascii="Times New Roman" w:hAnsi="Times New Roman" w:cs="Times New Roman"/>
                <w:sz w:val="28"/>
                <w:szCs w:val="28"/>
              </w:rPr>
              <w:t xml:space="preserve"> – це посередник…</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На аукціоні </w:t>
            </w:r>
            <w:proofErr w:type="spellStart"/>
            <w:r w:rsidRPr="00620D64">
              <w:rPr>
                <w:rFonts w:ascii="Times New Roman" w:hAnsi="Times New Roman" w:cs="Times New Roman"/>
                <w:sz w:val="28"/>
                <w:szCs w:val="28"/>
              </w:rPr>
              <w:t>аукціонатор</w:t>
            </w:r>
            <w:proofErr w:type="spellEnd"/>
            <w:r w:rsidRPr="00620D64">
              <w:rPr>
                <w:rFonts w:ascii="Times New Roman" w:hAnsi="Times New Roman" w:cs="Times New Roman"/>
                <w:sz w:val="28"/>
                <w:szCs w:val="28"/>
              </w:rPr>
              <w:t xml:space="preserve"> може отримати максимальний прибуток за рахунок:</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Принципал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Метод збуту продукції, який передбачає вступ виробника продукції у безпосередні відносини із споживачем, не звертаючись до послуг незалежних посередників,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Посередники, які мають право власності на товар (торгують від свого імені та за свій рахунок),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Залежно від порядку організації аукціони бувають: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Посередник, який сам не бере участі в укладанні угоди, а тільки вказує на можливість її укладання. Зазвичай веде торги на біржі, зводить брокера-продавця и брокера-покупця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Другий рівень банківської системи України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Активні операції комерційних банків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Пасивні операції комерційних банків – це:</w:t>
            </w:r>
          </w:p>
          <w:p w:rsidR="00620D64" w:rsidRPr="00620D64" w:rsidRDefault="00620D64" w:rsidP="00620D64">
            <w:pPr>
              <w:spacing w:after="0" w:line="240" w:lineRule="auto"/>
              <w:rPr>
                <w:rFonts w:ascii="Times New Roman" w:hAnsi="Times New Roman" w:cs="Times New Roman"/>
                <w:sz w:val="28"/>
                <w:szCs w:val="28"/>
              </w:rPr>
            </w:pP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Діяльність, пов’язана з грошовим обігом, обміном вартостей, торгівлею цінними паперами з метою одержання прибутку, називається:</w:t>
            </w:r>
          </w:p>
          <w:p w:rsidR="00620D64" w:rsidRPr="00620D64" w:rsidRDefault="00620D64" w:rsidP="00620D64">
            <w:pPr>
              <w:spacing w:after="0" w:line="240" w:lineRule="auto"/>
              <w:rPr>
                <w:rFonts w:ascii="Times New Roman" w:hAnsi="Times New Roman" w:cs="Times New Roman"/>
                <w:sz w:val="28"/>
                <w:szCs w:val="28"/>
              </w:rPr>
            </w:pP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 є об’єктами підприємницької діяльності у сфері фінансових послуг:</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 є суб’єктами підприємництва у сфері фінансових послуг:</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Для отримання прибутку в сфері кредитного підприємництва необхідно: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Перший рівень банківської системи України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фінансових посередників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Банківська система України та більшості країн світу має: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81.</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Монопольно здійснює емісію національної валюти України та організує її обіг:</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82.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Спеціалізована фінансова установа, яка акумулює фінансові ресурси – тимчасово вільні грошові кошти фізичних та юридичних осіб, надає їх у тимчасове користування у вигляді кредитів (позик), здійснює посередництво у взаємних платежах і розрахунках між підприємствами, установами і окремими особами з метою отримання прибутку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Комісійно-посередницькі операції комерційних банків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84.</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Організаційно оформлений, постійно діючий ринок, на якому здійснюється торгівля цінними паперами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85.</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Фінансові інститути, які спеціалізуються на операціях з цінними паперами, реалізації інвестиційних проектів, довгостроковому кредитуванні і фінансуванні підприємств різних видів економічної діяльності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Згідно договору страхування до зобов’язань страховика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обов’язкового державного соціального страхування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Ефективна страхова діяльність передбачає що: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Якщо протягом строку дії страхової угоди не відбулося страхового випадку сума страхових внесків:</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Підприємництво в сфері страхування проводиться тільки в формі:</w:t>
            </w:r>
          </w:p>
          <w:p w:rsidR="00620D64" w:rsidRPr="00620D64" w:rsidRDefault="00620D64" w:rsidP="00620D64">
            <w:pPr>
              <w:spacing w:after="0" w:line="240" w:lineRule="auto"/>
              <w:rPr>
                <w:rFonts w:ascii="Times New Roman" w:hAnsi="Times New Roman" w:cs="Times New Roman"/>
                <w:sz w:val="28"/>
                <w:szCs w:val="28"/>
              </w:rPr>
            </w:pP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Основним видом страхування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Вид цивільно-правових відносин щодо захисту майнових інтересів громадян та юридичних осіб у разі, коли відбуваються певні події, визначені договором або чинним законодавством, за рахунок грошових фондів, що формуються шляхом сплати громадянами та юридичними особами певних платежів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Суб’єктами страхової угоди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Форми страхування: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rPr>
          <w:trHeight w:val="1759"/>
        </w:trPr>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95.</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Страховий випадок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96.</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Страхування життя, здоров’я, страхувальника або застрахованої особи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Страхування пов’язане з володінням, користуванням та розпорядженням майна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Страхування заборгованості, тобто відповідальності боржників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99.</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До зобов’язань страховика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100.</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До зобов’язань страхувальника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Послуги із загальних питань управління, до яких відносять розробку стратегії; маркетинг; управління виробництвом; трудовими ресурсами; збутом; екологією і безпеку праці; структуру управління тощо, мають назву: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Послуги з питань бухгалтерського обліку та аналізу; оцінка майна, бізнесу, ризиків, майнових та немайнових прав, операцій з цінними паперами, розробка фінансової стратегії, оцінка фінансових результатів діяльності, управління фондами та інвестиціям, оптимізація витрат і системи фінансового обліку, розрахунок ефективності окремих проектів, мають назву: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Послуги, пов’язані з юридичними аспектами оподаткування; створенням, реорганізацією та реєстрацією підприємств; зовнішньоекономічною діяльністю, ліцензуванням та патентуванням; поверненням боргів, банкрутством та ін.., мають назву: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Інженерно-консультаційні послуги зі спорудження об’єктів та їх експлуатації, мають назву: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Типова модель процесу консультування складається з наступних послідовних етапів:</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106.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На цьому етапі процесу консультування, не заглиблюючись у деталі питань, консультант збирає важливі орієнтовні дані про клієнта та його оточення, а також про ті проблеми, які є типовими для сфери діяльності клієнта: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 час цього етапу процесу консультування конкретизуються проблеми, уточнюються причини їх виникнення, з’ясовуються фактори і засоби впливу на дану проблему, встановлюються широта охоплення об’єкта та період дослідження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Цей етап процесу консультування включає вироблення рішень проблем, надання клієнту пропозицій щодо способів усунення існуючих недоліків та прийняття рішення про реалізацію пропозицій</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Цей етап консультування дозволяє реально змінити проблемну ситуацію клієнта на краще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На цьому етапі консультування визначається час та форми припинення робіт над завданням, здійснюється оцінка виконаних робіт та впроваджень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складових якості консалтингової послуги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 є основним критерієм вибору клієнтом консалтингової фірми: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основних функцій консалтингових фірм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Підприємцям доцільно користуватися консультаційними послугами коли необхідно: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Організаційною формою консультативних фірм не можуть бути: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116.</w:t>
            </w:r>
          </w:p>
        </w:tc>
        <w:tc>
          <w:tcPr>
            <w:tcW w:w="5527" w:type="dxa"/>
          </w:tcPr>
          <w:p w:rsidR="00620D64" w:rsidRPr="00620D64" w:rsidRDefault="00620D64" w:rsidP="00620D64">
            <w:pPr>
              <w:pStyle w:val="HTML"/>
              <w:shd w:val="clear" w:color="auto" w:fill="FFFFFF"/>
              <w:textAlignment w:val="baseline"/>
              <w:rPr>
                <w:rFonts w:ascii="Times New Roman" w:hAnsi="Times New Roman" w:cs="Times New Roman"/>
                <w:sz w:val="28"/>
                <w:szCs w:val="28"/>
                <w:lang w:val="uk-UA"/>
              </w:rPr>
            </w:pPr>
            <w:r w:rsidRPr="00620D64">
              <w:rPr>
                <w:rFonts w:ascii="Times New Roman" w:hAnsi="Times New Roman" w:cs="Times New Roman"/>
                <w:color w:val="000000"/>
                <w:sz w:val="28"/>
                <w:szCs w:val="28"/>
                <w:lang w:val="uk-UA"/>
              </w:rPr>
              <w:t>Закон України, що визначає правові, економічні та соціальні засади створення та діяльності фермерських господарств як прогресивної форми підприємницької діяльності  громадян у галузі сільського господарства України,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117.</w:t>
            </w:r>
          </w:p>
        </w:tc>
        <w:tc>
          <w:tcPr>
            <w:tcW w:w="5527" w:type="dxa"/>
          </w:tcPr>
          <w:p w:rsidR="00620D64" w:rsidRPr="00620D64" w:rsidRDefault="00620D64" w:rsidP="00620D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rPr>
            </w:pPr>
            <w:r w:rsidRPr="00620D64">
              <w:rPr>
                <w:rFonts w:ascii="Times New Roman" w:eastAsia="Times New Roman" w:hAnsi="Times New Roman" w:cs="Times New Roman"/>
                <w:color w:val="000000"/>
                <w:sz w:val="28"/>
                <w:szCs w:val="28"/>
                <w:lang w:eastAsia="ru-RU"/>
              </w:rPr>
              <w:t xml:space="preserve">Форма підприємницької діяльності громадян, які виявили бажання виробляти </w:t>
            </w:r>
            <w:r w:rsidRPr="00620D64">
              <w:rPr>
                <w:rFonts w:ascii="Times New Roman" w:eastAsia="Times New Roman" w:hAnsi="Times New Roman" w:cs="Times New Roman"/>
                <w:color w:val="000000"/>
                <w:sz w:val="28"/>
                <w:szCs w:val="28"/>
                <w:lang w:eastAsia="ru-RU"/>
              </w:rPr>
              <w:lastRenderedPageBreak/>
              <w:t>товарну сільськогосподарську продукцію, здійснювати її переробку та реалізацію з метою отримання прибутку на земельних ділянках, наданих їм у власність та/або користування, у тому числі в оренду,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118.</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Фермерське господарство може бути створене: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119.</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Залучення до праці у фермерському господарстві громадян, що не є членами сім</w:t>
            </w:r>
            <w:r w:rsidRPr="00620D64">
              <w:rPr>
                <w:rFonts w:ascii="Times New Roman" w:hAnsi="Times New Roman" w:cs="Times New Roman"/>
                <w:color w:val="000000"/>
                <w:sz w:val="28"/>
                <w:szCs w:val="28"/>
              </w:rPr>
              <w:t>'</w:t>
            </w:r>
            <w:r w:rsidRPr="00620D64">
              <w:rPr>
                <w:rFonts w:ascii="Times New Roman" w:hAnsi="Times New Roman" w:cs="Times New Roman"/>
                <w:sz w:val="28"/>
                <w:szCs w:val="28"/>
              </w:rPr>
              <w:t>ї:</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120.</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Членами фермерського господарства не можуть бути: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Головою сімейного фермерського господарства може бути: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122.</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Право на створення сімейного фермерського господарства мають право: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123.</w:t>
            </w:r>
          </w:p>
        </w:tc>
        <w:tc>
          <w:tcPr>
            <w:tcW w:w="5527" w:type="dxa"/>
          </w:tcPr>
          <w:p w:rsidR="00620D64" w:rsidRPr="00620D64" w:rsidRDefault="00620D64" w:rsidP="00620D64">
            <w:pPr>
              <w:pStyle w:val="HTML"/>
              <w:shd w:val="clear" w:color="auto" w:fill="FFFFFF"/>
              <w:textAlignment w:val="baseline"/>
              <w:rPr>
                <w:rFonts w:ascii="Times New Roman" w:hAnsi="Times New Roman" w:cs="Times New Roman"/>
                <w:sz w:val="28"/>
                <w:szCs w:val="28"/>
                <w:lang w:val="uk-UA"/>
              </w:rPr>
            </w:pPr>
            <w:r w:rsidRPr="00620D64">
              <w:rPr>
                <w:rFonts w:ascii="Times New Roman" w:hAnsi="Times New Roman" w:cs="Times New Roman"/>
                <w:color w:val="000000"/>
                <w:sz w:val="28"/>
                <w:szCs w:val="28"/>
                <w:lang w:val="uk-UA"/>
              </w:rPr>
              <w:t>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124.</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Надання державної допомоги фермерським господарствам відбувається за рахунок:</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125.</w:t>
            </w:r>
          </w:p>
        </w:tc>
        <w:tc>
          <w:tcPr>
            <w:tcW w:w="5527" w:type="dxa"/>
          </w:tcPr>
          <w:p w:rsidR="00620D64" w:rsidRPr="00620D64" w:rsidRDefault="00620D64" w:rsidP="00620D64">
            <w:pPr>
              <w:pStyle w:val="HTML"/>
              <w:shd w:val="clear" w:color="auto" w:fill="FFFFFF"/>
              <w:textAlignment w:val="baseline"/>
              <w:rPr>
                <w:rFonts w:ascii="Times New Roman" w:hAnsi="Times New Roman" w:cs="Times New Roman"/>
                <w:color w:val="000000"/>
                <w:sz w:val="28"/>
                <w:szCs w:val="28"/>
                <w:lang w:val="uk-UA"/>
              </w:rPr>
            </w:pPr>
            <w:r w:rsidRPr="00620D64">
              <w:rPr>
                <w:rFonts w:ascii="Times New Roman" w:hAnsi="Times New Roman" w:cs="Times New Roman"/>
                <w:color w:val="000000"/>
                <w:sz w:val="28"/>
                <w:szCs w:val="28"/>
                <w:lang w:val="uk-UA"/>
              </w:rPr>
              <w:t>Кошти, що спрямовуються  на меліорацію земель, у тому числі їх зрошення та осушення, а також на консервацію та рекультивацію малопродуктивних сільськогосподарських угідь, на придбання сільськогосподарської техніки (комбайнів, тракторів, автомашин, бульдозерів, сівалок тощо), надаються фермерським господарствам з:</w:t>
            </w:r>
          </w:p>
          <w:p w:rsidR="00620D64" w:rsidRPr="00620D64" w:rsidRDefault="00620D64" w:rsidP="00620D64">
            <w:pPr>
              <w:spacing w:after="0" w:line="240" w:lineRule="auto"/>
              <w:jc w:val="both"/>
              <w:rPr>
                <w:rFonts w:ascii="Times New Roman" w:hAnsi="Times New Roman" w:cs="Times New Roman"/>
                <w:sz w:val="28"/>
                <w:szCs w:val="28"/>
              </w:rPr>
            </w:pP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Критеріями розподілу підприємств на малі, середні та великі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Чинний законодавчий акт, відповідно до якого здійснюється розподіл підприємств на великі, середні, малі та мікропідприємства:</w:t>
            </w:r>
          </w:p>
        </w:tc>
        <w:tc>
          <w:tcPr>
            <w:tcW w:w="3595" w:type="dxa"/>
          </w:tcPr>
          <w:p w:rsidR="00620D64" w:rsidRPr="00620D64" w:rsidRDefault="00620D64" w:rsidP="00620D64">
            <w:pPr>
              <w:tabs>
                <w:tab w:val="left" w:pos="54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Підприємство, яке має 54 працівники та 550 тис. євро річного доходу за курсом НБУ, за розміром буде: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Мікропідприємствами згідно </w:t>
            </w:r>
            <w:r w:rsidRPr="00620D64">
              <w:rPr>
                <w:rFonts w:ascii="Times New Roman" w:hAnsi="Times New Roman" w:cs="Times New Roman"/>
                <w:sz w:val="28"/>
                <w:szCs w:val="28"/>
              </w:rPr>
              <w:lastRenderedPageBreak/>
              <w:t>Господарського кодексу визнаються: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130.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Суб’єктами малого підприємництва згідно Господарського кодексу визнаються: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Основні принципи державної політики </w:t>
            </w:r>
            <w:r w:rsidRPr="00620D64">
              <w:rPr>
                <w:rFonts w:ascii="Times New Roman" w:hAnsi="Times New Roman" w:cs="Times New Roman"/>
                <w:color w:val="000000"/>
                <w:sz w:val="28"/>
                <w:szCs w:val="28"/>
                <w:shd w:val="clear" w:color="auto" w:fill="FFFFFF"/>
              </w:rPr>
              <w:t>у сфері розвитку малого і середнього підприємництва в Україні зазначені у законодавчому акті:</w:t>
            </w:r>
          </w:p>
        </w:tc>
        <w:tc>
          <w:tcPr>
            <w:tcW w:w="3595" w:type="dxa"/>
          </w:tcPr>
          <w:p w:rsidR="00620D64" w:rsidRPr="00620D64" w:rsidRDefault="00620D64" w:rsidP="00620D64">
            <w:pPr>
              <w:tabs>
                <w:tab w:val="left" w:pos="54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 перелічених рис малого підприємництва, який є недоліком:</w:t>
            </w:r>
          </w:p>
        </w:tc>
        <w:tc>
          <w:tcPr>
            <w:tcW w:w="3595" w:type="dxa"/>
          </w:tcPr>
          <w:p w:rsidR="00620D64" w:rsidRPr="00620D64" w:rsidRDefault="00620D64" w:rsidP="00620D64">
            <w:pPr>
              <w:tabs>
                <w:tab w:val="num" w:pos="108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 перелічених рис малого підприємництва, який є перевагою:</w:t>
            </w:r>
          </w:p>
        </w:tc>
        <w:tc>
          <w:tcPr>
            <w:tcW w:w="3595" w:type="dxa"/>
          </w:tcPr>
          <w:p w:rsidR="00620D64" w:rsidRPr="00620D64" w:rsidRDefault="00620D64" w:rsidP="00620D64">
            <w:pPr>
              <w:tabs>
                <w:tab w:val="num" w:pos="144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 кількістю зареєстрованих суб’єктів господарювання в Україні найбільша частка належить:</w:t>
            </w:r>
          </w:p>
        </w:tc>
        <w:tc>
          <w:tcPr>
            <w:tcW w:w="3595" w:type="dxa"/>
          </w:tcPr>
          <w:p w:rsidR="00620D64" w:rsidRPr="00620D64" w:rsidRDefault="00620D64" w:rsidP="00620D64">
            <w:pPr>
              <w:tabs>
                <w:tab w:val="num" w:pos="144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Основними напрямами державної політики у сфері розвитку малого і середнього підприємництва в Україні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Процес створення власної справи складається з:</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етапів підготовчої стадії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Визначення величини та джерел формування початкового капіталу – це етап:</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Формування мереж постачання ресурсів і реалізації продукції – це етап:</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атрибутів підприємства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перспективних напрямків розвитку видів підприємництва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Вибір організаційно-правової форми підприємництва відбувається: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Підприємницька діяльність не може провадитися у такій організаційно-правовій як:</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Сума коштів необхідна для започаткування підприємства (справи)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Сукупність речей та інших цінностей (включаючи нематеріальні активи), які мають вартісне визначення, виробляються чи використовуються у діяльності суб’єктів господарювання та відображаються в їх балансі або враховуються в інших формах обліку майна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Капітал, який створюється внесенням вкладів засновниками (учасниками):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147.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Забороняється використовувати для формування зареєстрованого капіталу господарських товариств:</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Оригінальне зображення повного або скороченого найменування підприємства (організації) або товару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Комплекс понять, які узагальнюють уявлення людей про відповідний товар, послугу, компанію або особистість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Професійна діяльність, пов’язана із створенням яскравої, оригінальної і такої, що запам’ятовується назви для підприємства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Установчі документи суб’єкта господарювання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Типовий установчий документ, затверджений Кабінетом Міністрів України, який використовується для створення та провадження діяльності юридичних осіб відповідних організаційно-правових форм, містить встановлені законом правила, що регулюють правовий статус, права, обов’язки та відносини, які пов’язані із створенням та провадженням господарської діяльності відповідних юридичних осіб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 є видом реорганізації суб’єктів підприємницької діяльності:</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Суб’єкт підприємницької діяльності не може бути ліквідований:</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Реорганізація суб’єкта господарювання у формі приєднання має наступну схему: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Сукупність методів та форм управління виробництвом для отримання прибутку, діяльність з координації зусиль людей у процесі спільної роботи, наявність та функціонування специфічного органу підприємства, що уособлює його керівництво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Структура управління будується: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При застосуванні вертикального принципу побудови структури управління виділяють: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Рівень управління на якому розробляються довгострокові плани, вирішуються питання </w:t>
            </w:r>
            <w:r w:rsidRPr="00620D64">
              <w:rPr>
                <w:rFonts w:ascii="Times New Roman" w:hAnsi="Times New Roman" w:cs="Times New Roman"/>
                <w:sz w:val="28"/>
                <w:szCs w:val="28"/>
              </w:rPr>
              <w:lastRenderedPageBreak/>
              <w:t>про адаптацію підприємства до змін ринкового середовища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160.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Вузькоспеціалізовані професійні менеджери, які виконують чітко регламентовані обов’язки з виробництва, збуту, маркетингу, управління матеріально-технічним постачанням відносяться до: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Горизонтальна побудова структури управління характерна для: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Зосередження зусиль всіх менеджерів на вирішенні конкретної задачі, на успіхові фірми як єдиної системи є характерною рисою:</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Модель менеджменту, спрямована на особистий успіх у досягненні результатів підприємницької діяльності, схильна до ризику, практицизму,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Модель менеджменту, яка спитається на індивідуальний успіх, що базується на колективних зусиллях та постійних нововведеннях,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Модель менеджменту, в якій цінується вміння використовувати інституційні основи побудови системи управління, індивідуалізм, обмежений певними структурними ланками,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управлінського процесу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Встановлення основних напрямків зусиль і схвалення рішень, постановка єдиної цілі для всіх співробітників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Створення певних структур для виконання планів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Внутрішнє спонукання працівників до дій на основі вияву потреб та способів їх задоволення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Встановлення стандартів, вимір досягнутого, порівняння з очікуваними результатами, за необхідності коригування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етапів процесу прийняття стратегічних рішень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основних складових комплексу маркетингу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173.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Інформування покупців про товари, послуги та фірму, що їх виробляє або надає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Рух товару від виробника до споживача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Діяльність спрямована на виявлення, вивчення та задоволення потреб споживачів на ринку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9854" w:type="dxa"/>
            <w:gridSpan w:val="3"/>
          </w:tcPr>
          <w:p w:rsidR="00620D64" w:rsidRPr="00620D64" w:rsidRDefault="00620D64" w:rsidP="00620D64">
            <w:pPr>
              <w:spacing w:after="0" w:line="240" w:lineRule="auto"/>
              <w:jc w:val="center"/>
              <w:rPr>
                <w:rFonts w:ascii="Times New Roman" w:hAnsi="Times New Roman" w:cs="Times New Roman"/>
                <w:i/>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Планування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Централізоване визначення цілей діяльності, планових показників та засобів їх досягнення, які є обов’язковими для виконання, характерне для: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 ступенем невизначеності плани поділяють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Тип планування, що пристосовується тільки до сьогодення: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Тип планування, орієнтований на взаємодію всіх кращих ідей планування: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Принцип планування, який полягає в тому, що процес планування на підприємстві має здійснюватися постійно в рамках встановленого управлінського циклу,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Принцип планування, який передбачає залучення до складання планів трудового колективу,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Нормативна база підприємства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Метод планування, який передбачає що плани мають цільовий характер та виступають як сукупність заходів для досягнення встановлених цілей,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Метод планування, який передбачає проведення аналізу минулих періодів та використання його даних на плановий період,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чинників виникнення ризикованої ситуації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об’єктивних причин ризику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суб’єктивних причин ризику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об’єктивних соціальних причин ризику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190.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об’єктивних економічних причин ризику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Оберіть вірне твердження: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підприємницького ризику, яка стимулює пошук нетрадиційних рішень проблем, що стоять перед підприємцем,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підприємницького ризику пов’язана з тим, що його наявність передбачає необхідність вибору одного із можливих варіантів рішення, у зв’язку з чим підприємець аналізує всі можливі альтернативи, обираючи найбільш прибуткові та найменш ризиковані,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Ризики, які завжди несуть у собі витрати називають: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Витрати від ризику у підприємницькій діяльності поділяються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Витрати, які виникають у разі, якщо процес підприємницької діяльності йде повільніше, ніж передбачено проектом, називають: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Ризики, обумовлені несприятливими змінами в економіці країни та економіці самого підприємства,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Ризики, пов’язані з імовірністю втрати майна підприємця через крадіжку, диверсію, перенапруження технічної і технологічної систем тощо,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фінансових ризиків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Імовірність того, що партнери-учасники контракту виявляться неспроможними виконати договірні зобов’язання як у цілому, так і по окремих позиціях,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зовнішніх факторів прямої дії, що визначають рівень ризикованості підприємницької діяльності,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зовнішніх факторів непрямої дії, що визначають рівень ризикованості підприємницької діяльності,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Внутрішні фактори, що зумовлюють економічні ризики, поділяються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Зона ризику, у межах якої величина імовірних витрат не перевищує очікуваного </w:t>
            </w:r>
            <w:r w:rsidRPr="00620D64">
              <w:rPr>
                <w:rFonts w:ascii="Times New Roman" w:hAnsi="Times New Roman" w:cs="Times New Roman"/>
                <w:sz w:val="28"/>
                <w:szCs w:val="28"/>
              </w:rPr>
              <w:lastRenderedPageBreak/>
              <w:t>прибутку, отже, діяльність підприємства має економічну доцільність,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205.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Коли передбачається відмова від певних управлінських рішень, якщо рівень ризику по них перевищує його прийнятний рівень для підприємства, цей метод зниження ризику називається:</w:t>
            </w:r>
          </w:p>
          <w:p w:rsidR="00620D64" w:rsidRPr="00620D64" w:rsidRDefault="00620D64" w:rsidP="00620D64">
            <w:pPr>
              <w:spacing w:after="0" w:line="240" w:lineRule="auto"/>
              <w:rPr>
                <w:rFonts w:ascii="Times New Roman" w:hAnsi="Times New Roman" w:cs="Times New Roman"/>
                <w:sz w:val="28"/>
                <w:szCs w:val="28"/>
              </w:rPr>
            </w:pP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економічних методів зниження підприємницького ризику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Метод зниження ризику, якій полягає у тому, що ризик імовірної шкоди чи втрати розподіляється між учасниками так, щоб можливі втрати кожного були невеликими,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 рахунок відрахувань з прибутку на випадок виникнення непередбачених ситуацій створюють: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 метою компенсації коливань попиту на товари створюють: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 метою компенсації коливань надходжень і використання коштів підприємства створюють: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Сукупність економічних грошових відносин, пов’язаних з утворенням, розподілом і використанням грошових доходів і фондів грошових коштів для забезпечення розвитку підприємницької та іншої господарської діяльності,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фінансів, що полягає в акумулюванні (зосередженні) грошових коштів у заздалегідь визначених цільових фондах для забезпечення прогресивного розвитку підприємницької діяльності,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фінансів, що полягає у здійснені контролю за тим, чи правильно підприємства використовують кошти цільових централізованих і децентралізованих фондів грошових ресурсів, чи вчасно та в повному обсязі сплачують обов’язкові платежі та збори до бюджетів різних рівнів,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Функція фінансів покликана підвищувати </w:t>
            </w:r>
            <w:r w:rsidRPr="00620D64">
              <w:rPr>
                <w:rFonts w:ascii="Times New Roman" w:hAnsi="Times New Roman" w:cs="Times New Roman"/>
                <w:sz w:val="28"/>
                <w:szCs w:val="28"/>
              </w:rPr>
              <w:lastRenderedPageBreak/>
              <w:t>ефективність використання факторів виробництва, спонукаючи підприємства використовувати ці фактори в таких пропорціях, щоб вони створили сприятливі умови для дотримання режиму економії, підвищення продуктивності праці, якості продукції, що виробляється,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215.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Процес забезпечення господарюючого суб’єкта фінансовими ресурсами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Джерела фінансування підприємницької діяльності поділяються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Сума грошових коштів, оборотних і необоротних активів, наданих засновниками при створенні підприємства для здійснення ним підприємницької діяльності,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внутрішніх джерел фінансування підприємницької діяльності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Зо зовнішніх джерел фінансування підприємницької діяльності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Специфічна форма фінансування витрат на придбання обладнання, за якою суб’єкт підприємницької діяльності за умовами договору передає іншому суб’єкту підприємницької діяльності матеріальні цінності для використання в процесі господарювання на визначений строк і за визначену плату: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Сукупність податків, зборів, інших обов’язкових платежів до бюджетів різних рівнів, внесків до державних цільових фондів, що стягуються в установленому порядку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Податки та збори, що надходять до Державного бюджету України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Податки, що входять до ціни товару або тарифу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непрямих податків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Юридичні та фізичні особи, на яких покладено обов’язки сплачувати, утримувати та перераховувати податки, збори та платежі до бюджетів різних рівнів та державних фондів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226.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Загальна ставка податку на додану вартість дорівнює: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Єдиний соціальний внесок сплачується: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підакцизних товарів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Ставка податку на доходи фізичних осіб дорівнює: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якої групи платників єдиного податку відноситься фізичні особи-підприємці, які</w:t>
            </w:r>
            <w:r w:rsidRPr="00620D64">
              <w:rPr>
                <w:rFonts w:ascii="Times New Roman" w:hAnsi="Times New Roman" w:cs="Times New Roman"/>
                <w:color w:val="000000"/>
                <w:sz w:val="28"/>
                <w:szCs w:val="28"/>
                <w:shd w:val="clear" w:color="auto" w:fill="FFFFFF"/>
              </w:rPr>
              <w:t xml:space="preserve">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Вплив держави на діяльність суб’єктів підприємництва та ринок для забезпечення нормальних умов їх функціонування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державного регулювання підприємницької діяльності, яка полягає у створенні та забезпечені організаційно-правових засад підприємницької діяльності, створені умов функціонування всіх ринкових механізмів тощо,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державного регулювання підприємництва, яка охоплює контроль за дотриманням правових норм і законодавства, за розвитком процесів на макроекономічному рівні, за розвитком зовнішньоекономічних зв’язків тощо,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Функція державного регулювання підприємництва, яка передбачає здійснення діяльності, спрямованої на узгодження та об’єднання заходів та засобів регулювання на конкурентно-ринковому, </w:t>
            </w:r>
            <w:proofErr w:type="spellStart"/>
            <w:r w:rsidRPr="00620D64">
              <w:rPr>
                <w:rFonts w:ascii="Times New Roman" w:hAnsi="Times New Roman" w:cs="Times New Roman"/>
                <w:sz w:val="28"/>
                <w:szCs w:val="28"/>
              </w:rPr>
              <w:t>приватно-монополістичному</w:t>
            </w:r>
            <w:proofErr w:type="spellEnd"/>
            <w:r w:rsidRPr="00620D64">
              <w:rPr>
                <w:rFonts w:ascii="Times New Roman" w:hAnsi="Times New Roman" w:cs="Times New Roman"/>
                <w:sz w:val="28"/>
                <w:szCs w:val="28"/>
              </w:rPr>
              <w:t xml:space="preserve"> та державному рівнях,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державного регулювання підприємництва,яка спрямована на зберігання та захист ринкового механізму, забезпечення нормального функціонування конкуренції,створення цивілізованих засад ринкової економіки,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236.</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Сукупність прогресивних гуманістичних матеріально-духовних досягнень в управлінні виробничими процесами та економічними відносинами між людьми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237.</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Система загальних етичних норм і правил поведінки суб’єктів підприємництва, їх спілкування і взаємодії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238.</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Зведення моральних принципів, моральних норм і правил поведінки однієї особи або групи осіб, що визначає оцінку їх дій з погляду взаємовідносин з іншими суб’єктами бізнесу, відносин у колективі та суспільстві на основі дотримання моральних норм і принципів, які розділяються ними,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239.</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Конкретно визначений набір моральних норм, який слугує керівництвом поведінки в тій чи іншій професійній діяльності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240.</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Етикет підприємця не включає: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Зовнішньоекономічна діяльність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Закон України, що регулює зовнішньоекономічну діяльність,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Об’єктами ЗЕД не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 можуть бути суб’єктами ЗЕД:</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bCs/>
                <w:iCs/>
                <w:sz w:val="28"/>
                <w:szCs w:val="28"/>
              </w:rPr>
              <w:t>За місцем перебування та здійснення зовнішньоекономічної діяльності суб’єкти зовнішньоекономічної діяльності поділяють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bCs/>
                <w:iCs/>
                <w:sz w:val="28"/>
                <w:szCs w:val="28"/>
              </w:rPr>
              <w:t>За належністю капіталу суб’єкти зовнішньоекономічної діяльності поділяють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Правовий </w:t>
            </w:r>
            <w:r w:rsidRPr="00620D64">
              <w:rPr>
                <w:rFonts w:ascii="Times New Roman" w:hAnsi="Times New Roman" w:cs="Times New Roman"/>
                <w:bCs/>
                <w:sz w:val="28"/>
                <w:szCs w:val="28"/>
              </w:rPr>
              <w:t>режим</w:t>
            </w:r>
            <w:r w:rsidRPr="00620D64">
              <w:rPr>
                <w:rFonts w:ascii="Times New Roman" w:hAnsi="Times New Roman" w:cs="Times New Roman"/>
                <w:sz w:val="28"/>
                <w:szCs w:val="28"/>
              </w:rPr>
              <w:t>, який означає, що іноземні суб’єкти господарської діяльності мають обсяг прав та обов’язків, не менший ніж суб’єкти господарської діяльності України,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Сучасна система ЗЕД характеризується: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Необхідність ЗЕД зумовлена дією таких факторів:</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Для сучасної системи ЗЕД не характерні риси: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lang w:val="en-US"/>
              </w:rPr>
              <w:t>251</w:t>
            </w:r>
            <w:r w:rsidRPr="00620D64">
              <w:rPr>
                <w:rFonts w:ascii="Times New Roman" w:hAnsi="Times New Roman" w:cs="Times New Roman"/>
                <w:sz w:val="28"/>
                <w:szCs w:val="28"/>
              </w:rPr>
              <w:t>.</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Ринок досконалої конкуренції </w:t>
            </w:r>
            <w:r w:rsidRPr="00620D64">
              <w:rPr>
                <w:rFonts w:ascii="Times New Roman" w:hAnsi="Times New Roman" w:cs="Times New Roman"/>
                <w:sz w:val="28"/>
                <w:szCs w:val="28"/>
              </w:rPr>
              <w:lastRenderedPageBreak/>
              <w:t>характеризується: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252.</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Монополія характеризується:</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253.</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Конкурентну позицію підприємства можна розглядати:</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254.</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До типів конкурентних ринків відносяться:</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255.</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Конкурентна перевага – це: </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256.</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До переваг високого порядку відносяться: </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257.</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До переваг низького порядку відносять: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258.</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Які конкурентні переваги складно скопіювати: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259.</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Теорію п’яти сил конкуренції розглядає: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260.</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До п’яти сил, що визначають конкуренцію в галузі відносять: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261.</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Конкурентної переваги можна досягти за рахунок:</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262.</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Фірма, яка виводить на ринок новий товар з покращеними споживчими властивостями без зміни ціни, використовує: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263.</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Внутрішньогалузева конкуренція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264.</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Вкажіть вид конкуренції, яка виникає за наявності різних різновидів товарів, здатних задовольнити одну й ту ж потребу?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265.</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Фактична здатність товару задовольняти конкретну потребу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Ринкова ситуація, за якої відносно велика кількість невеликих виробників пропонують схожу, але не ідентичну продукцію. Кожне підприємство даного середовища задовольняє невелику частку ринкового попиту на продукцію, який реалізує підприємство. Це конкурентне середовище: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Оберіть неправильне визначення поняття «конкуренція»: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268.</w:t>
            </w:r>
          </w:p>
        </w:tc>
        <w:tc>
          <w:tcPr>
            <w:tcW w:w="5527" w:type="dxa"/>
          </w:tcPr>
          <w:p w:rsidR="00620D64" w:rsidRPr="00620D64" w:rsidRDefault="00620D64" w:rsidP="00620D64">
            <w:pPr>
              <w:autoSpaceDE w:val="0"/>
              <w:autoSpaceDN w:val="0"/>
              <w:adjustRightInd w:val="0"/>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Оберіть визначення суті поняття «конкуренція» згідно із Законом України «Про захист економічної конкуренції»: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Оберіть визначення, яке найбільш повно висвітлює сутність поняття «конкурентоспроможність підприємства»: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270.</w:t>
            </w:r>
          </w:p>
        </w:tc>
        <w:tc>
          <w:tcPr>
            <w:tcW w:w="5527" w:type="dxa"/>
          </w:tcPr>
          <w:p w:rsidR="00620D64" w:rsidRPr="00620D64" w:rsidRDefault="00620D64" w:rsidP="00620D64">
            <w:pPr>
              <w:autoSpaceDE w:val="0"/>
              <w:autoSpaceDN w:val="0"/>
              <w:adjustRightInd w:val="0"/>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Яка мета управління конкурентоспроможністю підприємства? </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Однією з перших форм оптової торгівлі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Перша біржа була створена: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273.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Біржі, як організованому ринку, не притаманні риси: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Перша товарна біржа на території України була відкрита у 1796 р. 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Біржа як класичний інститут ринкової економіки, що формує сучасний оптовий ринок, розглядається в аспектах:</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Біржа, як організований у певному місті регулярно діючий за встановленими правилами оптовий ринок, на якому здійснюється торгівля цінними паперами, оптова торгівля товарами за зразками та стандартами і контрактами на їх поставку в майбутньому, а також валютою, дорогоцінними металами за цінами, що офіційно встановлені на основі попиту та пропозиції, розглядається 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Біржі, що здійснюють операції із купівлі-продажу масових однорідних товарів з певними параметрами чи за зразками; характеризуються регулярністю торгівлі у суворо визначеному місті, уніфікацією основних вимог до якості товару, умов та термінів постачання,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Біржа, що спеціалізується на купівлі-продажу цінних паперів, акцій, облігацій, що випускаються рядом, місцевими органами влади та приватними підприємствами,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Постійно діючий ринок фрахтованих суден, де концентрується інформація про попит та тоннаж та його пропозицію, про рівень фрахтових ставок, про умови угод фрахтування тощо,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Біржа прямих, безпосередніх контактів виробників і споживачів,  на якій діє вільний доступ до біржового кола клієнтів-продавців та замовників-покупців; продавець уособлює пропозицію, покупець-попит,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Біржа, на якій усі операції здійснюються тільки через брокерські контори, які створюються членами (учасниками) біржі, діє заборона доступу до біржового кола </w:t>
            </w:r>
            <w:r w:rsidRPr="00620D64">
              <w:rPr>
                <w:rFonts w:ascii="Times New Roman" w:hAnsi="Times New Roman" w:cs="Times New Roman"/>
                <w:sz w:val="28"/>
                <w:szCs w:val="28"/>
              </w:rPr>
              <w:lastRenderedPageBreak/>
              <w:t xml:space="preserve">покупців та продавців, необхідна спеціальна система збирання та </w:t>
            </w:r>
            <w:proofErr w:type="spellStart"/>
            <w:r w:rsidRPr="00620D64">
              <w:rPr>
                <w:rFonts w:ascii="Times New Roman" w:hAnsi="Times New Roman" w:cs="Times New Roman"/>
                <w:sz w:val="28"/>
                <w:szCs w:val="28"/>
              </w:rPr>
              <w:t>добіржової</w:t>
            </w:r>
            <w:proofErr w:type="spellEnd"/>
            <w:r w:rsidRPr="00620D64">
              <w:rPr>
                <w:rFonts w:ascii="Times New Roman" w:hAnsi="Times New Roman" w:cs="Times New Roman"/>
                <w:sz w:val="28"/>
                <w:szCs w:val="28"/>
              </w:rPr>
              <w:t xml:space="preserve"> обробки замовлень за межами біржі; передбачається наявність органів посередників-професіоналів, які обслуговують процес купівлі-продажу,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282.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Біржі, на яких торги ведуться за широким колом різноманітних товарів,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Біржа, на якій укладаються ф’ючерсні угоди з поставки товару та платежами у визначений угодою термін за курсом, що зафіксований на момент укладання угоди; виконує ціноутворюючу,  </w:t>
            </w:r>
            <w:proofErr w:type="spellStart"/>
            <w:r w:rsidRPr="00620D64">
              <w:rPr>
                <w:rFonts w:ascii="Times New Roman" w:hAnsi="Times New Roman" w:cs="Times New Roman"/>
                <w:sz w:val="28"/>
                <w:szCs w:val="28"/>
              </w:rPr>
              <w:t>цінострахуючу</w:t>
            </w:r>
            <w:proofErr w:type="spellEnd"/>
            <w:r w:rsidRPr="00620D64">
              <w:rPr>
                <w:rFonts w:ascii="Times New Roman" w:hAnsi="Times New Roman" w:cs="Times New Roman"/>
                <w:sz w:val="28"/>
                <w:szCs w:val="28"/>
              </w:rPr>
              <w:t xml:space="preserve"> та </w:t>
            </w:r>
            <w:proofErr w:type="spellStart"/>
            <w:r w:rsidRPr="00620D64">
              <w:rPr>
                <w:rFonts w:ascii="Times New Roman" w:hAnsi="Times New Roman" w:cs="Times New Roman"/>
                <w:sz w:val="28"/>
                <w:szCs w:val="28"/>
              </w:rPr>
              <w:t>цінопрогнозуючу</w:t>
            </w:r>
            <w:proofErr w:type="spellEnd"/>
            <w:r w:rsidRPr="00620D64">
              <w:rPr>
                <w:rFonts w:ascii="Times New Roman" w:hAnsi="Times New Roman" w:cs="Times New Roman"/>
                <w:sz w:val="28"/>
                <w:szCs w:val="28"/>
              </w:rPr>
              <w:t xml:space="preserve"> функції,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основних функцій бірж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допоміжних функцій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біржових посередників не відносяться: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брокерів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Управління товарною біржою здійснюють органи: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які виконують загальні збори членів біржі,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Біржового комітету (Рада біржі)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Виконавчої дирекції біржі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Сукупність конкретних способів і прийомів по певному впорядкуванню роботи бірж і укладання біржових угод на основі встановлених правил і вимог,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органів державного регулювання біржового ринку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Організаційно оформлений, постійно діючий ринок, на якому здійснюється торгівля цінними паперами,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Базовою функцією фондової біржі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Етика – це:</w:t>
            </w:r>
          </w:p>
        </w:tc>
        <w:tc>
          <w:tcPr>
            <w:tcW w:w="3595" w:type="dxa"/>
          </w:tcPr>
          <w:p w:rsidR="00620D64" w:rsidRPr="00620D64" w:rsidRDefault="00620D64" w:rsidP="00620D64">
            <w:pPr>
              <w:tabs>
                <w:tab w:val="left" w:pos="734"/>
                <w:tab w:val="left" w:pos="657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Етикет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Етика ділових відносин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Діловий етикет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300.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Діловий протокол – це:</w:t>
            </w:r>
            <w:bookmarkStart w:id="0" w:name="_GoBack"/>
            <w:bookmarkEnd w:id="0"/>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bl>
    <w:p w:rsidR="00607016" w:rsidRPr="00620D64" w:rsidRDefault="00607016" w:rsidP="00620D64">
      <w:pPr>
        <w:spacing w:after="0" w:line="240" w:lineRule="auto"/>
        <w:rPr>
          <w:rFonts w:ascii="Times New Roman" w:hAnsi="Times New Roman" w:cs="Times New Roman"/>
          <w:sz w:val="28"/>
          <w:szCs w:val="28"/>
        </w:rPr>
      </w:pPr>
    </w:p>
    <w:p w:rsidR="000351BF" w:rsidRPr="00620D64" w:rsidRDefault="000351BF" w:rsidP="00620D64">
      <w:pPr>
        <w:spacing w:after="0" w:line="240" w:lineRule="auto"/>
        <w:rPr>
          <w:sz w:val="28"/>
          <w:szCs w:val="28"/>
        </w:rPr>
      </w:pPr>
    </w:p>
    <w:sectPr w:rsidR="000351BF" w:rsidRPr="00620D64" w:rsidSect="000B56B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0B6E"/>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1F1A5DAC"/>
    <w:multiLevelType w:val="hybridMultilevel"/>
    <w:tmpl w:val="36468DD2"/>
    <w:lvl w:ilvl="0" w:tplc="4118C8E0">
      <w:start w:val="1"/>
      <w:numFmt w:val="decimal"/>
      <w:lvlText w:val="%1."/>
      <w:lvlJc w:val="left"/>
      <w:pPr>
        <w:tabs>
          <w:tab w:val="num" w:pos="1080"/>
        </w:tabs>
        <w:ind w:left="1080" w:hanging="360"/>
      </w:pPr>
      <w:rPr>
        <w:rFonts w:hint="default"/>
      </w:rPr>
    </w:lvl>
    <w:lvl w:ilvl="1" w:tplc="4140AFC6">
      <w:start w:val="1"/>
      <w:numFmt w:val="decimal"/>
      <w:lvlText w:val="%2."/>
      <w:lvlJc w:val="left"/>
      <w:pPr>
        <w:tabs>
          <w:tab w:val="num" w:pos="1800"/>
        </w:tabs>
        <w:ind w:left="1800" w:hanging="360"/>
      </w:pPr>
      <w:rPr>
        <w:rFonts w:hint="default"/>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
    <w:nsid w:val="2D194BFF"/>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49947BA7"/>
    <w:multiLevelType w:val="hybridMultilevel"/>
    <w:tmpl w:val="01545D20"/>
    <w:lvl w:ilvl="0" w:tplc="4140AFC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51C06AF5"/>
    <w:multiLevelType w:val="hybridMultilevel"/>
    <w:tmpl w:val="76A2B58C"/>
    <w:lvl w:ilvl="0" w:tplc="A69C231E">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nsid w:val="577452AC"/>
    <w:multiLevelType w:val="hybridMultilevel"/>
    <w:tmpl w:val="A94A1DFA"/>
    <w:lvl w:ilvl="0" w:tplc="AC42073A">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
    <w:nsid w:val="579A7ACB"/>
    <w:multiLevelType w:val="hybridMultilevel"/>
    <w:tmpl w:val="0E52A0E4"/>
    <w:lvl w:ilvl="0" w:tplc="4140AFC6">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7">
    <w:nsid w:val="75FB746D"/>
    <w:multiLevelType w:val="hybridMultilevel"/>
    <w:tmpl w:val="80CC958C"/>
    <w:lvl w:ilvl="0" w:tplc="4140AFC6">
      <w:start w:val="1"/>
      <w:numFmt w:val="decimal"/>
      <w:lvlText w:val="%1."/>
      <w:lvlJc w:val="left"/>
      <w:pPr>
        <w:tabs>
          <w:tab w:val="num" w:pos="1080"/>
        </w:tabs>
        <w:ind w:left="1080" w:hanging="360"/>
      </w:pPr>
      <w:rPr>
        <w:rFonts w:hint="default"/>
        <w:sz w:val="24"/>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4"/>
  </w:num>
  <w:num w:numId="4">
    <w:abstractNumId w:val="6"/>
  </w:num>
  <w:num w:numId="5">
    <w:abstractNumId w:val="2"/>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7016"/>
    <w:rsid w:val="000351BF"/>
    <w:rsid w:val="00133603"/>
    <w:rsid w:val="00151F26"/>
    <w:rsid w:val="00233898"/>
    <w:rsid w:val="00237785"/>
    <w:rsid w:val="00261C8D"/>
    <w:rsid w:val="002B0870"/>
    <w:rsid w:val="0039303D"/>
    <w:rsid w:val="00526629"/>
    <w:rsid w:val="00537203"/>
    <w:rsid w:val="005B53AF"/>
    <w:rsid w:val="00607016"/>
    <w:rsid w:val="00620D64"/>
    <w:rsid w:val="00650C29"/>
    <w:rsid w:val="006A4433"/>
    <w:rsid w:val="006D1A40"/>
    <w:rsid w:val="00774E29"/>
    <w:rsid w:val="00966E82"/>
    <w:rsid w:val="00AA6F44"/>
    <w:rsid w:val="00BF2855"/>
    <w:rsid w:val="00C33BA5"/>
    <w:rsid w:val="00CC7C27"/>
    <w:rsid w:val="00CF3E4F"/>
    <w:rsid w:val="00DF42A0"/>
    <w:rsid w:val="00F967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016"/>
    <w:pPr>
      <w:spacing w:after="200" w:line="276" w:lineRule="auto"/>
      <w:ind w:firstLine="0"/>
      <w:jc w:val="left"/>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7016"/>
    <w:pPr>
      <w:ind w:firstLine="0"/>
      <w:jc w:val="left"/>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607016"/>
    <w:rPr>
      <w:color w:val="0000FF"/>
      <w:u w:val="single"/>
    </w:rPr>
  </w:style>
  <w:style w:type="paragraph" w:styleId="HTML">
    <w:name w:val="HTML Preformatted"/>
    <w:basedOn w:val="a"/>
    <w:link w:val="HTML0"/>
    <w:uiPriority w:val="99"/>
    <w:unhideWhenUsed/>
    <w:rsid w:val="0060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607016"/>
    <w:rPr>
      <w:rFonts w:ascii="Courier New" w:eastAsia="Times New Roman" w:hAnsi="Courier New" w:cs="Courier New"/>
      <w:sz w:val="20"/>
      <w:szCs w:val="20"/>
      <w:lang w:eastAsia="ru-RU"/>
    </w:rPr>
  </w:style>
  <w:style w:type="paragraph" w:styleId="a5">
    <w:name w:val="List Paragraph"/>
    <w:basedOn w:val="a"/>
    <w:uiPriority w:val="34"/>
    <w:qFormat/>
    <w:rsid w:val="00620D64"/>
    <w:pPr>
      <w:ind w:left="720"/>
      <w:contextualSpacing/>
    </w:pPr>
  </w:style>
</w:styles>
</file>

<file path=word/webSettings.xml><?xml version="1.0" encoding="utf-8"?>
<w:webSettings xmlns:r="http://schemas.openxmlformats.org/officeDocument/2006/relationships" xmlns:w="http://schemas.openxmlformats.org/wordprocessingml/2006/main">
  <w:divs>
    <w:div w:id="8539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23</Pages>
  <Words>5278</Words>
  <Characters>30085</Characters>
  <Application>Microsoft Office Word</Application>
  <DocSecurity>0</DocSecurity>
  <Lines>250</Lines>
  <Paragraphs>70</Paragraphs>
  <ScaleCrop>false</ScaleCrop>
  <Company/>
  <LinksUpToDate>false</LinksUpToDate>
  <CharactersWithSpaces>35293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ek_mnm</dc:creator>
  <cp:lastModifiedBy>AdminR</cp:lastModifiedBy>
  <cp:revision>13</cp:revision>
  <dcterms:created xsi:type="dcterms:W3CDTF">2017-11-30T11:28:00Z</dcterms:created>
  <dcterms:modified xsi:type="dcterms:W3CDTF">2020-04-01T07:00:00Z</dcterms:modified>
</cp:coreProperties>
</file>