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b/>
          <w:sz w:val="28"/>
          <w:szCs w:val="28"/>
          <w:lang w:val="uk-UA"/>
        </w:rPr>
      </w:pPr>
      <w:r>
        <w:rPr>
          <w:rFonts w:ascii="Times New Roman" w:hAnsi="Times New Roman"/>
          <w:b/>
          <w:sz w:val="28"/>
          <w:szCs w:val="28"/>
          <w:lang w:val="uk-UA"/>
        </w:rPr>
        <w:t xml:space="preserve">КОНТРОЛЬНЕ ЗАВДАННЯ </w:t>
      </w:r>
    </w:p>
    <w:p>
      <w:pPr>
        <w:pStyle w:val="Normal"/>
        <w:jc w:val="center"/>
        <w:rPr>
          <w:rFonts w:ascii="Times New Roman" w:hAnsi="Times New Roman"/>
          <w:b/>
          <w:sz w:val="28"/>
          <w:szCs w:val="28"/>
          <w:lang w:val="uk-UA"/>
        </w:rPr>
      </w:pPr>
      <w:r>
        <w:rPr>
          <w:rFonts w:ascii="Times New Roman" w:hAnsi="Times New Roman"/>
          <w:b/>
          <w:sz w:val="28"/>
          <w:szCs w:val="28"/>
          <w:lang w:val="uk-UA"/>
        </w:rPr>
        <w:t>до теми «Місцеві податки та збори»</w:t>
      </w:r>
    </w:p>
    <w:p>
      <w:pPr>
        <w:pStyle w:val="Normal"/>
        <w:rPr>
          <w:rFonts w:ascii="Times New Roman" w:hAnsi="Times New Roman"/>
          <w:sz w:val="28"/>
          <w:szCs w:val="28"/>
          <w:lang w:val="uk-UA"/>
        </w:rPr>
      </w:pPr>
      <w:r>
        <w:rPr>
          <w:rFonts w:ascii="Times New Roman" w:hAnsi="Times New Roman"/>
          <w:b/>
          <w:sz w:val="28"/>
          <w:szCs w:val="28"/>
          <w:lang w:val="uk-UA"/>
        </w:rPr>
        <w:t xml:space="preserve">Завдання 1. </w:t>
      </w:r>
      <w:r>
        <w:rPr>
          <w:rFonts w:ascii="Times New Roman" w:hAnsi="Times New Roman"/>
          <w:sz w:val="28"/>
          <w:szCs w:val="28"/>
          <w:lang w:val="uk-UA"/>
        </w:rPr>
        <w:t>Виконати тестове завдання.</w:t>
      </w:r>
    </w:p>
    <w:tbl>
      <w:tblPr>
        <w:tblW w:w="10491" w:type="dxa"/>
        <w:jc w:val="left"/>
        <w:tblInd w:w="-205" w:type="dxa"/>
        <w:tblLayout w:type="fixed"/>
        <w:tblCellMar>
          <w:top w:w="0" w:type="dxa"/>
          <w:left w:w="108" w:type="dxa"/>
          <w:bottom w:w="0" w:type="dxa"/>
          <w:right w:w="108" w:type="dxa"/>
        </w:tblCellMar>
        <w:tblLook w:val="04a0"/>
      </w:tblPr>
      <w:tblGrid>
        <w:gridCol w:w="711"/>
        <w:gridCol w:w="3692"/>
        <w:gridCol w:w="5470"/>
        <w:gridCol w:w="617"/>
      </w:tblGrid>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1</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До місцевих податків входять:</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ПДВ;</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туристичний збір;</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єдиний податок;</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збір за місця для паркування транспортних засобів;</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орендна плата.</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2</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До місцевих податків та зборів не входить:</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податок на майно;</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туристичний збір;</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єдиний податок;</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збір за місця для паркування транспортних засобів;</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орендна плата.</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3</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Об’єктом оподаткування податком на нерухоме майно, відмінне від земельної ділянки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земельна ділянка;</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житлова нерухомість;</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нежитлова нерухомість;</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транспортний засіб;</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правильними є відповіді Б, В.</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4</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Не є об’єктом оподаткування податком на нерухоме майно, відмінне від земельної ділянки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житлова нерухомість непридатна для проживання;</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гуртожитки;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дитячі будинки;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промислові будівлі;</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5</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Базою оподаткування податком на нерухоме майно, відмінне від земельної ділянки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оціночна вартість нерухомості;</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площа нерухомості;</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частка нерухомості;</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кількість обʼєктів нерухомості;</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6</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Пільговими площами для сплати податку на нерухоме майно, відмінне від земельної ділянки платником, який має квартиру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180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160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120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80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60 кв. м</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7</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en-US"/>
              </w:rPr>
            </w:pPr>
            <w:r>
              <w:rPr>
                <w:rFonts w:ascii="Times New Roman" w:hAnsi="Times New Roman"/>
                <w:sz w:val="28"/>
                <w:szCs w:val="28"/>
                <w:lang w:val="uk-UA"/>
              </w:rPr>
              <w:t>Пільговими площами для сплати податку на нерухоме майно, відмінне від земельної ділянки платником, який має будинок є:</w:t>
            </w:r>
          </w:p>
          <w:p>
            <w:pPr>
              <w:pStyle w:val="Normal"/>
              <w:spacing w:lineRule="auto" w:line="240" w:before="0" w:after="0"/>
              <w:jc w:val="both"/>
              <w:rPr>
                <w:rFonts w:ascii="Times New Roman" w:hAnsi="Times New Roman"/>
                <w:sz w:val="28"/>
                <w:szCs w:val="28"/>
                <w:lang w:val="en-US"/>
              </w:rPr>
            </w:pPr>
            <w:r>
              <w:rPr>
                <w:rFonts w:ascii="Times New Roman" w:hAnsi="Times New Roman"/>
                <w:sz w:val="28"/>
                <w:szCs w:val="28"/>
                <w:lang w:val="en-US"/>
              </w:rPr>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180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160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120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80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60 кв. м</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8</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Пільговими площами для сплати податку на нерухоме майно, відмінне від земельної ділянки платником, який має різні типи об’єктів житлової нерухомості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180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160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120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80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60 кв. м</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9</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Пільги з податку на нерухоме майно, відмінне від земельної ділянки, що сплачується на відповідній території визначаються виходячи з:</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бази оподаткування;</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кількості осіб, які проживають в квартирі/будинку;</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майнового стану платника;</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рівня доходів фізичних осіб;</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правильними є відповіді В, Г, А.</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10</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Пільги з податку на нерухоме майно, відмінне від земельної ділянки для фізичних осіб не застосовуються, якщо:</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кількість проживаючих фізичних осіб в об’єкті нерухомості не відповідає реєстраційним документам прописаних там осіб;</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площа об’єкта нерухомості перевищує п’ятикратний розмір неоподатковуваної площі;</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обʼєкт нерухомості орендується;</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доходи фізичної особи, яка володіє обʼєктом нерухомості, перевищують середні розміри;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правильними є відповіді Б, В.</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11</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Фізична особа має право на пільгу, якщо:</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обʼєкт здається в оренду;</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обʼєкт здається в лізинг;</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обʼєкт є заставою при отриманні позики;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обʼєкт має площу 900 кв. м;</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немає правильної відповіді.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12</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Податковим періодом для сплати податку на нерухоме майно, відмінне від земельної ділянки:</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квартал;</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півроку;</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рік;</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2 роки;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5 років.</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13</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Порядок сплати податку на нерухоме майно, відмінне від земельної ділянки:</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сплачується за місцем розташування об’єкта оподаткування;</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зараховується до місцевого бюджету;</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сплачується протягом 60 днів з дня вручення податкового повідомлення (фізичною особою);</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податкове зобов’язання нараховується за податкові періоди в межах звітного року;</w:t>
            </w:r>
          </w:p>
          <w:p>
            <w:pPr>
              <w:pStyle w:val="Normal"/>
              <w:spacing w:lineRule="auto" w:line="240" w:before="0" w:after="0"/>
              <w:jc w:val="both"/>
              <w:rPr>
                <w:rFonts w:ascii="Times New Roman" w:hAnsi="Times New Roman"/>
                <w:sz w:val="28"/>
                <w:szCs w:val="28"/>
                <w:lang w:val="en-US"/>
              </w:rPr>
            </w:pPr>
            <w:r>
              <w:rPr>
                <w:rFonts w:ascii="Times New Roman" w:hAnsi="Times New Roman"/>
                <w:sz w:val="28"/>
                <w:szCs w:val="28"/>
                <w:lang w:val="uk-UA"/>
              </w:rPr>
              <w:t>Д. всі відповіді правильні.</w:t>
            </w:r>
          </w:p>
          <w:p>
            <w:pPr>
              <w:pStyle w:val="Normal"/>
              <w:spacing w:lineRule="auto" w:line="240" w:before="0" w:after="0"/>
              <w:jc w:val="both"/>
              <w:rPr>
                <w:rFonts w:ascii="Times New Roman" w:hAnsi="Times New Roman"/>
                <w:sz w:val="28"/>
                <w:szCs w:val="28"/>
                <w:lang w:val="en-US"/>
              </w:rPr>
            </w:pPr>
            <w:r>
              <w:rPr>
                <w:rFonts w:ascii="Times New Roman" w:hAnsi="Times New Roman"/>
                <w:sz w:val="28"/>
                <w:szCs w:val="28"/>
                <w:lang w:val="en-US"/>
              </w:rPr>
            </w:r>
          </w:p>
          <w:p>
            <w:pPr>
              <w:pStyle w:val="Normal"/>
              <w:spacing w:lineRule="auto" w:line="240" w:before="0" w:after="0"/>
              <w:jc w:val="both"/>
              <w:rPr>
                <w:rFonts w:ascii="Times New Roman" w:hAnsi="Times New Roman"/>
                <w:sz w:val="28"/>
                <w:szCs w:val="28"/>
                <w:lang w:val="en-US"/>
              </w:rPr>
            </w:pPr>
            <w:r>
              <w:rPr>
                <w:rFonts w:ascii="Times New Roman" w:hAnsi="Times New Roman"/>
                <w:sz w:val="28"/>
                <w:szCs w:val="28"/>
                <w:lang w:val="en-US"/>
              </w:rPr>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74" w:right="-91"/>
              <w:jc w:val="center"/>
              <w:rPr>
                <w:rFonts w:ascii="Times New Roman" w:hAnsi="Times New Roman"/>
                <w:sz w:val="28"/>
                <w:szCs w:val="28"/>
                <w:lang w:val="en-US"/>
              </w:rPr>
            </w:pPr>
            <w:r>
              <w:rPr>
                <w:rFonts w:ascii="Times New Roman" w:hAnsi="Times New Roman"/>
                <w:sz w:val="28"/>
                <w:szCs w:val="28"/>
                <w:lang w:val="en-US"/>
              </w:rPr>
              <w:t>14</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Обʼєктом оподаткування транспортним податком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легкові автомобілі, вартість яких становить не більше 375 розмірів мінімальної заробітної плати;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легкові автомобілі, з року випуску яких минуло не більше 5 років;</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легкові автомобілі, середньоринкова вартість яких становить понад 375 розмірів мінімальної заробітної плати;</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правильними є відповіді Б, В;</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правильними є відповіді А, Б.</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15</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Ставка транспортного податку за кожен легковий автомобіль встановлюється в розмірі:</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375 000 грн.;</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200 000 грн.;</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100 000 грн.;</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50 000 грн.;</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25 000 грн.</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16</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Транспортний податок фізичною особою сплачується:</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протягом 60 днів після вручення повідомлення;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до державного бюджету;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за місцем реєстрації фізичної особи;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за місцем реєстрації легкового автомобіля;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правильними є відповіді А, Г.</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17</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Платниками земельного податку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власники земельної ділянки;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власники земельної частки;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землекористувачі;</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орендатори;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18</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Базою оподаткування земельним податком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А. нормативна грошова оцінка земельних ділянок;</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Б. площа земельних ділянок;</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ринкова вартість земельних ділянок;</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Г. нормативна грошова оцінка земельної ділянки або площа земельної ділянки, нормативну грошову оцінку яких не проведено;</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19</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Підставою для нарахування плати за землю є:</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оцінка земельної ділянки;</w:t>
            </w:r>
          </w:p>
          <w:p>
            <w:pPr>
              <w:pStyle w:val="Normal"/>
              <w:spacing w:lineRule="auto" w:line="240" w:before="0" w:after="0"/>
              <w:jc w:val="both"/>
              <w:rPr>
                <w:rFonts w:ascii="Times New Roman" w:hAnsi="Times New Roman" w:eastAsia="宋体" w:eastAsiaTheme="minorEastAsia"/>
                <w:sz w:val="28"/>
                <w:szCs w:val="28"/>
                <w:lang w:val="uk-UA" w:eastAsia="zh-CN"/>
              </w:rPr>
            </w:pPr>
            <w:r>
              <w:rPr>
                <w:rFonts w:eastAsia="宋体" w:ascii="Times New Roman" w:hAnsi="Times New Roman" w:eastAsiaTheme="minorEastAsia"/>
                <w:sz w:val="28"/>
                <w:szCs w:val="28"/>
                <w:lang w:val="uk-UA" w:eastAsia="zh-CN"/>
              </w:rPr>
              <w:t>Б. свідоцтво про право власності на земельну ділянку;</w:t>
            </w:r>
          </w:p>
          <w:p>
            <w:pPr>
              <w:pStyle w:val="Normal"/>
              <w:spacing w:lineRule="auto" w:line="240" w:before="0" w:after="0"/>
              <w:jc w:val="both"/>
              <w:rPr>
                <w:rFonts w:ascii="Times New Roman" w:hAnsi="Times New Roman" w:eastAsia="宋体" w:eastAsiaTheme="minorEastAsia"/>
                <w:sz w:val="28"/>
                <w:szCs w:val="28"/>
                <w:lang w:val="uk-UA" w:eastAsia="zh-CN"/>
              </w:rPr>
            </w:pPr>
            <w:r>
              <w:rPr>
                <w:rFonts w:eastAsia="宋体" w:ascii="Times New Roman" w:hAnsi="Times New Roman" w:eastAsiaTheme="minorEastAsia"/>
                <w:sz w:val="28"/>
                <w:szCs w:val="28"/>
                <w:lang w:val="uk-UA" w:eastAsia="zh-CN"/>
              </w:rPr>
              <w:t>В. довідка про наявність земельної ділянки;</w:t>
            </w:r>
          </w:p>
          <w:p>
            <w:pPr>
              <w:pStyle w:val="Normal"/>
              <w:spacing w:lineRule="auto" w:line="240" w:before="0" w:after="0"/>
              <w:rPr>
                <w:rFonts w:ascii="Times New Roman" w:hAnsi="Times New Roman" w:eastAsia="宋体" w:eastAsiaTheme="minorEastAsia"/>
                <w:sz w:val="28"/>
                <w:szCs w:val="28"/>
                <w:lang w:val="uk-UA" w:eastAsia="zh-CN"/>
              </w:rPr>
            </w:pPr>
            <w:r>
              <w:rPr>
                <w:rFonts w:eastAsia="宋体" w:ascii="Times New Roman" w:hAnsi="Times New Roman" w:eastAsiaTheme="minorEastAsia"/>
                <w:sz w:val="28"/>
                <w:szCs w:val="28"/>
                <w:lang w:val="uk-UA" w:eastAsia="zh-CN"/>
              </w:rPr>
              <w:t>Г. дані державного земельного кадастру;</w:t>
            </w:r>
          </w:p>
          <w:p>
            <w:pPr>
              <w:pStyle w:val="Normal"/>
              <w:spacing w:lineRule="auto" w:line="240" w:before="0" w:after="0"/>
              <w:rPr>
                <w:rFonts w:ascii="Times New Roman" w:hAnsi="Times New Roman" w:eastAsia="宋体" w:eastAsiaTheme="minorEastAsia"/>
                <w:sz w:val="28"/>
                <w:szCs w:val="28"/>
                <w:lang w:val="en-US" w:eastAsia="zh-CN"/>
              </w:rPr>
            </w:pPr>
            <w:r>
              <w:rPr>
                <w:rFonts w:eastAsia="宋体" w:ascii="Times New Roman" w:hAnsi="Times New Roman" w:eastAsiaTheme="minorEastAsia"/>
                <w:sz w:val="28"/>
                <w:szCs w:val="28"/>
                <w:lang w:val="uk-UA" w:eastAsia="zh-CN"/>
              </w:rPr>
              <w:t>Д. довідка про розмір земельної ділянки.</w:t>
            </w:r>
          </w:p>
          <w:p>
            <w:pPr>
              <w:pStyle w:val="Normal"/>
              <w:spacing w:lineRule="auto" w:line="240" w:before="0" w:after="0"/>
              <w:rPr>
                <w:rFonts w:ascii="Times New Roman" w:hAnsi="Times New Roman" w:eastAsia="宋体" w:eastAsiaTheme="minorEastAsia"/>
                <w:sz w:val="28"/>
                <w:szCs w:val="28"/>
                <w:lang w:val="en-US" w:eastAsia="zh-CN"/>
              </w:rPr>
            </w:pPr>
            <w:r>
              <w:rPr>
                <w:rFonts w:eastAsia="宋体" w:eastAsiaTheme="minorEastAsia" w:ascii="Times New Roman" w:hAnsi="Times New Roman"/>
                <w:sz w:val="28"/>
                <w:szCs w:val="28"/>
                <w:lang w:val="en-US" w:eastAsia="zh-CN"/>
              </w:rPr>
            </w:r>
          </w:p>
          <w:p>
            <w:pPr>
              <w:pStyle w:val="Normal"/>
              <w:spacing w:lineRule="auto" w:line="240" w:before="0" w:after="0"/>
              <w:rPr>
                <w:rFonts w:ascii="Times New Roman" w:hAnsi="Times New Roman" w:eastAsia="宋体" w:eastAsiaTheme="minorEastAsia"/>
                <w:sz w:val="28"/>
                <w:szCs w:val="28"/>
                <w:lang w:val="en-US" w:eastAsia="zh-CN"/>
              </w:rPr>
            </w:pPr>
            <w:r>
              <w:rPr>
                <w:rFonts w:eastAsia="宋体" w:eastAsiaTheme="minorEastAsia" w:ascii="Times New Roman" w:hAnsi="Times New Roman"/>
                <w:sz w:val="28"/>
                <w:szCs w:val="28"/>
                <w:lang w:val="en-US" w:eastAsia="zh-CN"/>
              </w:rPr>
            </w:r>
          </w:p>
          <w:p>
            <w:pPr>
              <w:pStyle w:val="Normal"/>
              <w:spacing w:lineRule="auto" w:line="240" w:before="0" w:after="0"/>
              <w:rPr>
                <w:rFonts w:ascii="Times New Roman" w:hAnsi="Times New Roman" w:eastAsia="宋体" w:eastAsiaTheme="minorEastAsia"/>
                <w:sz w:val="28"/>
                <w:szCs w:val="28"/>
                <w:lang w:val="en-US" w:eastAsia="zh-CN"/>
              </w:rPr>
            </w:pPr>
            <w:r>
              <w:rPr>
                <w:rFonts w:eastAsia="宋体" w:eastAsiaTheme="minorEastAsia" w:ascii="Times New Roman" w:hAnsi="Times New Roman"/>
                <w:sz w:val="28"/>
                <w:szCs w:val="28"/>
                <w:lang w:val="en-US" w:eastAsia="zh-CN"/>
              </w:rPr>
            </w:r>
          </w:p>
          <w:p>
            <w:pPr>
              <w:pStyle w:val="Normal"/>
              <w:spacing w:lineRule="auto" w:line="240" w:before="0" w:after="0"/>
              <w:rPr>
                <w:rFonts w:ascii="Times New Roman" w:hAnsi="Times New Roman" w:eastAsia="宋体" w:eastAsiaTheme="minorEastAsia"/>
                <w:sz w:val="28"/>
                <w:szCs w:val="28"/>
                <w:lang w:val="en-US" w:eastAsia="zh-CN"/>
              </w:rPr>
            </w:pPr>
            <w:r>
              <w:rPr>
                <w:rFonts w:eastAsia="宋体" w:eastAsiaTheme="minorEastAsia" w:ascii="Times New Roman" w:hAnsi="Times New Roman"/>
                <w:sz w:val="28"/>
                <w:szCs w:val="28"/>
                <w:lang w:val="en-US" w:eastAsia="zh-CN"/>
              </w:rPr>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20</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9160" w:leader="none"/>
              </w:tabs>
              <w:spacing w:lineRule="auto" w:line="240" w:before="0" w:after="0"/>
              <w:contextualSpacing/>
              <w:jc w:val="both"/>
              <w:rPr>
                <w:rFonts w:ascii="Times New Roman" w:hAnsi="Times New Roman"/>
                <w:sz w:val="28"/>
                <w:szCs w:val="28"/>
                <w:lang w:val="uk-UA"/>
              </w:rPr>
            </w:pPr>
            <w:r>
              <w:rPr>
                <w:rFonts w:ascii="Times New Roman" w:hAnsi="Times New Roman"/>
                <w:sz w:val="28"/>
                <w:szCs w:val="28"/>
                <w:lang w:val="uk-UA"/>
              </w:rPr>
              <w:t>Нарахування земельного податку здійснюється:</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t>А. фізичною особою самостійно;</w:t>
            </w:r>
          </w:p>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t>Б. контролюючим органом за місцезнаходженням земельної ділянки;</w:t>
            </w:r>
          </w:p>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t>В. контролюючим органом за місцем реєстрації фізичної особи;</w:t>
            </w:r>
          </w:p>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t>Г. органами місцевого самоврядування за місцезнаходженням земельної ділянки;</w:t>
            </w:r>
          </w:p>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t>Д. органами місцевого самоврядування за за місцем реєстрації фізичної особи.</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21</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9160" w:leader="none"/>
              </w:tabs>
              <w:spacing w:lineRule="auto" w:line="240" w:before="0" w:after="0"/>
              <w:contextualSpacing/>
              <w:jc w:val="both"/>
              <w:rPr>
                <w:rFonts w:ascii="Times New Roman" w:hAnsi="Times New Roman"/>
                <w:sz w:val="28"/>
                <w:szCs w:val="28"/>
                <w:lang w:val="uk-UA"/>
              </w:rPr>
            </w:pPr>
            <w:r>
              <w:rPr>
                <w:rFonts w:ascii="Times New Roman" w:hAnsi="Times New Roman"/>
                <w:sz w:val="28"/>
                <w:szCs w:val="28"/>
                <w:lang w:val="uk-UA"/>
              </w:rPr>
              <w:t>Субʼєкти господарювання, які застосовують спрощену систему оподаткування, обліку та звітності, поділяються на:</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дві групи платників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три групи платників єдиного податку;</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t>В. чотири групи платників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групу платників єдиного податку;</w:t>
            </w:r>
          </w:p>
          <w:p>
            <w:pPr>
              <w:pStyle w:val="Normal"/>
              <w:widowControl w:val="false"/>
              <w:spacing w:lineRule="auto" w:line="240" w:before="0" w:after="0"/>
              <w:ind w:left="34"/>
              <w:jc w:val="both"/>
              <w:rPr>
                <w:rFonts w:ascii="Times New Roman" w:hAnsi="Times New Roman"/>
                <w:sz w:val="28"/>
                <w:szCs w:val="28"/>
                <w:lang w:val="uk-UA"/>
              </w:rPr>
            </w:pPr>
            <w:r>
              <w:rPr>
                <w:rFonts w:ascii="Times New Roman" w:hAnsi="Times New Roman"/>
                <w:sz w:val="28"/>
                <w:szCs w:val="28"/>
                <w:lang w:val="uk-UA"/>
              </w:rPr>
              <w:t>Д. платників податків.</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22</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Фізичні особи-підприємці, які провадять діяльність виключно в межах фермерського господарства, відносяться до:</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1-ї групи платників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2-ї групи платників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3-ї групи платників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4-ї групи платників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23</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Фізичні особи-підприємці, які відносять до 4-ї групи платників єдиного податку, повинні відповідати таким вимогам:</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займатися постачання сільськогосподарської продукції за місцем податкової адреси;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можуть використовувати найману працю;</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членами фермерського господарства ФОП є лише члени її сімʼї;</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площа сільськогосподарських угідь у власності може становити понад 20 га;</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здійснюють лише реалізацію готової продукції.</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24</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en-US"/>
              </w:rPr>
            </w:pPr>
            <w:r>
              <w:rPr>
                <w:rFonts w:ascii="Times New Roman" w:hAnsi="Times New Roman"/>
                <w:sz w:val="28"/>
                <w:szCs w:val="28"/>
                <w:lang w:val="uk-UA"/>
              </w:rPr>
              <w:t>Якщо сільськогосподарський товаровиробник утворюється шляхом злиття, приєднання, перетворення, поділу або виділення, то норма щодо дотримання частки сільськогосподарського товаровиробництва, яка дорівнює або перевищує 75 відсотків за попередній податковий (звітний) рік, поширюється на:</w:t>
            </w:r>
          </w:p>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en-US"/>
              </w:rPr>
            </w:pPr>
            <w:r>
              <w:rPr>
                <w:rFonts w:ascii="Times New Roman" w:hAnsi="Times New Roman"/>
                <w:sz w:val="28"/>
                <w:szCs w:val="28"/>
                <w:lang w:val="en-US"/>
              </w:rPr>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усіх осіб окремо, які зливаються або приєднуються;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кожну окрему особу, утворену шляхом поділу або виділу;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особу, утворену шляхом перетворення;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всі відповіді правильні, окрім 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25</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Платниками єдиного податку першої - третьої груп не можуть бути:</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ФОП, які здійснюють обмін валюти;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юридичні особи, які здійснюють видобуток дорогоцінних металів;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юридичні особи, які здійснюють видобуток корисних копалин державного значення;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банк, кредитні спілки, ломбарди;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26</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Платниками єдиного податку першої - третьої груп можуть бути:</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ФОП, які здійснюють обмін валюти;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юридичні особи, які здійснюють видобуток дорогоцінних металів;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юридичні особи, які здійснюють видобуток корисних копалин місцевого значення;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банк, кредитні спілки, ломбарди;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27</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Не є доходом платника єдиного податку:</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аванс, який повертається покупцю товару внаслідок повернення товару платнику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суми податків і зборів, утримані під час здійснення функцій податкового агента;</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дохід отриманий протягом податкового періоду в матеріальній формі;</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суми єдиного внеску на загальнообов’язкове державне соціальне страхування;</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 окрім В.</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28</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Фіксовані ставки єдиного податку не встановлюються:</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ВРУ;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сільськими радами;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міськими радами;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радами об’єднаних територіальних громад;</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селищними радами.</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29</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 xml:space="preserve">Податковим періодом для платників єдиного податку 1-ї, 2-ї та 4-ї групи є: </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календарний місяць;</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календарний квартал;</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календарний рік;</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календарний день;</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30</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 xml:space="preserve">Податковим періодом для платників єдиного податку 3-ї групи є: </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календарний місяць;</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календарний квартал;</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календарний рік;</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календарний день;</w:t>
            </w:r>
          </w:p>
          <w:p>
            <w:pPr>
              <w:pStyle w:val="Normal"/>
              <w:spacing w:lineRule="auto" w:line="240" w:before="0" w:after="0"/>
              <w:rPr>
                <w:rFonts w:ascii="Times New Roman" w:hAnsi="Times New Roman"/>
                <w:sz w:val="28"/>
                <w:szCs w:val="28"/>
                <w:lang w:val="en-US"/>
              </w:rPr>
            </w:pPr>
            <w:r>
              <w:rPr>
                <w:rFonts w:ascii="Times New Roman" w:hAnsi="Times New Roman"/>
                <w:sz w:val="28"/>
                <w:szCs w:val="28"/>
                <w:lang w:val="uk-UA"/>
              </w:rPr>
              <w:t>Д. всі відповіді правильні.</w:t>
            </w:r>
          </w:p>
          <w:p>
            <w:pPr>
              <w:pStyle w:val="Normal"/>
              <w:spacing w:lineRule="auto" w:line="240" w:before="0" w:after="0"/>
              <w:rPr>
                <w:rFonts w:ascii="Times New Roman" w:hAnsi="Times New Roman"/>
                <w:sz w:val="28"/>
                <w:szCs w:val="28"/>
                <w:lang w:val="en-US"/>
              </w:rPr>
            </w:pPr>
            <w:r>
              <w:rPr>
                <w:rFonts w:ascii="Times New Roman" w:hAnsi="Times New Roman"/>
                <w:sz w:val="28"/>
                <w:szCs w:val="28"/>
                <w:lang w:val="en-US"/>
              </w:rPr>
            </w:r>
          </w:p>
          <w:p>
            <w:pPr>
              <w:pStyle w:val="Normal"/>
              <w:spacing w:lineRule="auto" w:line="240" w:before="0" w:after="0"/>
              <w:rPr>
                <w:rFonts w:ascii="Times New Roman" w:hAnsi="Times New Roman"/>
                <w:sz w:val="28"/>
                <w:szCs w:val="28"/>
                <w:lang w:val="en-US"/>
              </w:rPr>
            </w:pPr>
            <w:r>
              <w:rPr>
                <w:rFonts w:ascii="Times New Roman" w:hAnsi="Times New Roman"/>
                <w:sz w:val="28"/>
                <w:szCs w:val="28"/>
                <w:lang w:val="en-US"/>
              </w:rPr>
            </w:r>
          </w:p>
          <w:p>
            <w:pPr>
              <w:pStyle w:val="Normal"/>
              <w:spacing w:lineRule="auto" w:line="240" w:before="0" w:after="0"/>
              <w:rPr>
                <w:rFonts w:ascii="Times New Roman" w:hAnsi="Times New Roman"/>
                <w:sz w:val="28"/>
                <w:szCs w:val="28"/>
                <w:lang w:val="en-US"/>
              </w:rPr>
            </w:pPr>
            <w:r>
              <w:rPr>
                <w:rFonts w:ascii="Times New Roman" w:hAnsi="Times New Roman"/>
                <w:sz w:val="28"/>
                <w:szCs w:val="28"/>
                <w:lang w:val="en-US"/>
              </w:rPr>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31</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Помилково та/або надміру сплачені суми єдиного податку підлягають:</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поверненню платнику;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перезарахування платнику на наступний податковий період;</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списанню коштів;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зарахуванню в рахунок майбутніх платежів;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немає правильної відповіді.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32</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Реєстратори розрахункових операцій не застосовуються платниками єдиного податку:</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першої групи;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другої групи;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третьої групи;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четвертої групи;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 якщо обсяг доходу протягом календарного року не перевищує 1 млн.грн.</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33</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Платники єдиного податку звільняються від обовʼязку нарахування, сплати та подання податкової звітності з таких податків і зборів:</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податку на прибуток підприємств;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рентної плати за спеціальне використання води платниками єдиного податку четвертої групи.</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земельний податок за земельні ділянки, що використовуються для провадження господарської діяльності;</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податку на доходи фізичних осіб у частині доходів (об’єкта оподаткування), що отримані в результаті господарської діяльності</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34</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Для обрання або переходу на спрощену систему оподаткування суб’єкт господарювання подає до контролюючого органу заяву:</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А. особисто платником податків;</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уповноваженою на це особою;</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надсилається поштою;</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надсилається засобами електронного зв’язку в електронній формі;</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r>
        <w:trPr/>
        <w:tc>
          <w:tcPr>
            <w:tcW w:w="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91"/>
              <w:jc w:val="center"/>
              <w:rPr>
                <w:rFonts w:ascii="Times New Roman" w:hAnsi="Times New Roman"/>
                <w:sz w:val="28"/>
                <w:szCs w:val="28"/>
                <w:lang w:val="en-US"/>
              </w:rPr>
            </w:pPr>
            <w:r>
              <w:rPr>
                <w:rFonts w:ascii="Times New Roman" w:hAnsi="Times New Roman"/>
                <w:sz w:val="28"/>
                <w:szCs w:val="28"/>
                <w:lang w:val="en-US"/>
              </w:rPr>
              <w:t>35</w:t>
            </w:r>
          </w:p>
        </w:tc>
        <w:tc>
          <w:tcPr>
            <w:tcW w:w="36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360" w:leader="none"/>
                <w:tab w:val="left" w:pos="993" w:leader="none"/>
                <w:tab w:val="left" w:pos="2160" w:leader="none"/>
              </w:tabs>
              <w:spacing w:lineRule="auto" w:line="240" w:before="0" w:after="0"/>
              <w:jc w:val="both"/>
              <w:rPr>
                <w:rFonts w:ascii="Times New Roman" w:hAnsi="Times New Roman"/>
                <w:sz w:val="28"/>
                <w:szCs w:val="28"/>
                <w:lang w:val="uk-UA"/>
              </w:rPr>
            </w:pPr>
            <w:r>
              <w:rPr>
                <w:rFonts w:ascii="Times New Roman" w:hAnsi="Times New Roman"/>
                <w:sz w:val="28"/>
                <w:szCs w:val="28"/>
                <w:lang w:val="uk-UA"/>
              </w:rPr>
              <w:t>Платники єдиного податку несуть відповідальність за:</w:t>
            </w:r>
          </w:p>
        </w:tc>
        <w:tc>
          <w:tcPr>
            <w:tcW w:w="547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 xml:space="preserve">А. правильність обчислення єдиного податку, </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Б. своєчасність сплати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В. повноту сплати єдиного податку;</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Г. своєчасність подання податкових декларацій;</w:t>
            </w:r>
          </w:p>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t>Д. всі відповіді правильні.</w:t>
            </w:r>
          </w:p>
        </w:tc>
        <w:tc>
          <w:tcPr>
            <w:tcW w:w="617"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40" w:before="0" w:after="0"/>
              <w:rPr>
                <w:rFonts w:ascii="Times New Roman" w:hAnsi="Times New Roman"/>
                <w:sz w:val="28"/>
                <w:szCs w:val="28"/>
                <w:lang w:val="uk-UA"/>
              </w:rPr>
            </w:pPr>
            <w:r>
              <w:rPr>
                <w:rFonts w:ascii="Times New Roman" w:hAnsi="Times New Roman"/>
                <w:sz w:val="28"/>
                <w:szCs w:val="28"/>
                <w:lang w:val="uk-UA"/>
              </w:rPr>
            </w:r>
          </w:p>
        </w:tc>
      </w:tr>
    </w:tbl>
    <w:p>
      <w:pPr>
        <w:pStyle w:val="Normal"/>
        <w:widowControl/>
        <w:bidi w:val="0"/>
        <w:spacing w:lineRule="auto" w:line="276" w:before="0" w:after="200"/>
        <w:jc w:val="left"/>
        <w:rPr/>
      </w:pPr>
      <w:r>
        <w:rPr/>
      </w:r>
    </w:p>
    <w:sectPr>
      <w:type w:val="nextPage"/>
      <w:pgSz w:w="11906" w:h="16838"/>
      <w:pgMar w:left="1417" w:right="850" w:gutter="0" w:header="0" w:top="850" w:footer="0" w:bottom="85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w:charset w:val="cc"/>
    <w:family w:val="swiss"/>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75"/>
  <w:defaultTabStop w:val="708"/>
  <w:autoHyphenation w:val="true"/>
  <w:hyphenationZone w:val="0"/>
  <w:compat>
    <w:compatSetting w:name="compatibilityMode" w:uri="http://schemas.microsoft.com/office/word" w:val="12"/>
  </w:compat>
  <w:themeFontLang w:val="uk-UA"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宋体" w:cs="" w:asciiTheme="minorHAnsi" w:cstheme="minorBidi" w:eastAsiaTheme="minorEastAsia" w:hAnsiTheme="minorHAnsi"/>
        <w:sz w:val="22"/>
        <w:szCs w:val="22"/>
        <w:lang w:val="uk-UA"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e4f86"/>
    <w:pPr>
      <w:widowControl/>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numbering" w:styleId="Style16" w:default="1">
    <w:name w:val="Без маркерів"/>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LibreOffice/24.8.0.3$Windows_X86_64 LibreOffice_project/0bdf1299c94fe897b119f97f3c613e9dca6be583</Application>
  <AppVersion>15.0000</AppVersion>
  <DocSecurity>1</DocSecurity>
  <Pages>4</Pages>
  <Words>1383</Words>
  <Characters>8424</Characters>
  <CharactersWithSpaces>9563</CharactersWithSpaces>
  <Paragraphs>248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2020-04-15T06:31:00Z</dcterms:created>
  <dc:creator>User</dc:creator>
  <dc:description/>
  <dc:language>uk-UA</dc:language>
  <cp:lastModifiedBy>User</cp:lastModifiedBy>
  <dcterms:modified xsi:type="dcterms:W3CDTF">2020-04-15T06:31:00Z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