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3176" w14:textId="2458210D" w:rsidR="001A6C28" w:rsidRPr="00FF7900" w:rsidRDefault="001A6C28" w:rsidP="001A6C28">
      <w:pPr>
        <w:spacing w:before="100" w:beforeAutospacing="1" w:after="100" w:afterAutospacing="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ЛАБОРАТОРНА РОБОТА</w:t>
      </w:r>
      <w:r w:rsidRPr="00FF79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</w:t>
      </w:r>
    </w:p>
    <w:p w14:paraId="4D566F1B" w14:textId="57D2A815" w:rsidR="001A6C28" w:rsidRPr="001A6C28" w:rsidRDefault="001A6C28" w:rsidP="001A6C28">
      <w:pPr>
        <w:spacing w:before="100" w:beforeAutospacing="1" w:after="100" w:afterAutospacing="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uk-UA"/>
        </w:rPr>
      </w:pPr>
      <w:r w:rsidRPr="001A6C28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uk-UA"/>
        </w:rPr>
        <w:t>ЗАСТОСУВАННЯ МОДЕЛІ MONERIS ДЛЯ ОЦІНКИ НАДХОДЖЕННЯ БІОГЕННИХ РЕЧОВИН У ВОДНІ ОБ'ЄКТИ З ТОЧКОВИХ ТА ДИФУЗНИХ ДЖЕРЕЛ</w:t>
      </w:r>
    </w:p>
    <w:p w14:paraId="6F9E2E4F" w14:textId="77777777" w:rsidR="001A6C28" w:rsidRPr="00FF7900" w:rsidRDefault="001A6C28" w:rsidP="001A6C28">
      <w:pPr>
        <w:spacing w:before="100" w:beforeAutospacing="1" w:after="100" w:afterAutospacing="1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uk-UA"/>
        </w:rPr>
      </w:pPr>
    </w:p>
    <w:p w14:paraId="07F14697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заняття</w:t>
      </w:r>
    </w:p>
    <w:p w14:paraId="4E2DB1EC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Ознайомити студентів з принципами роботи моделі MONERIS (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MOdelling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Nutrient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Emissions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RIver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), навчити оцінювати надходження біогенних речовин у водні об'єкти з різних джерел та аналізувати результати моделювання.</w:t>
      </w:r>
    </w:p>
    <w:p w14:paraId="4A0F84DF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Хід роботи</w:t>
      </w:r>
    </w:p>
    <w:p w14:paraId="50694C8E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Заняття розпочинається з огляду теоретичних основ моделі MONERIS. Студенти вивчають структуру моделі, її складові модулі та принципи функціонування. Особлива увага приділяється опису шляхів надходження біогенних речовин (зокрема, азоту та фосфору) у водні об'єкти, які враховуються в моделі: атмосферні опади, поверхневий стік, ґрунтова ерозія, дренажні води, ґрунтові води, урбанізовані території та точкові джерела.</w:t>
      </w:r>
    </w:p>
    <w:p w14:paraId="72AAD2DA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Студенти проводять пошукову роботу, збираючи інформацію про успішне застосування моделі MONERIS для різних річкових басейнів у Європі та світі. Вони аналізують наукові публікації та звіти, виявляючи особливості адаптації моделі до різних географічних та кліматичних умов, а також результати моделювання та їх практичне застосування для розробки водоохоронних заходів.</w:t>
      </w:r>
    </w:p>
    <w:p w14:paraId="1E67EB49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Далі студенти переходять до практичної частини, де працюють з вхідними даними для моделі MONERIS для умовного річкового басейну. Вони отримують таблицю з наступними даними: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217"/>
        <w:gridCol w:w="1422"/>
      </w:tblGrid>
      <w:tr w:rsidR="001A6C28" w:rsidRPr="00FF7900" w14:paraId="73C06B37" w14:textId="77777777" w:rsidTr="003F31C7">
        <w:trPr>
          <w:jc w:val="center"/>
        </w:trPr>
        <w:tc>
          <w:tcPr>
            <w:tcW w:w="0" w:type="auto"/>
            <w:hideMark/>
          </w:tcPr>
          <w:p w14:paraId="13BA0D30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Параметр</w:t>
            </w:r>
          </w:p>
        </w:tc>
        <w:tc>
          <w:tcPr>
            <w:tcW w:w="0" w:type="auto"/>
            <w:hideMark/>
          </w:tcPr>
          <w:p w14:paraId="6398B0B8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Значення</w:t>
            </w:r>
          </w:p>
        </w:tc>
      </w:tr>
      <w:tr w:rsidR="001A6C28" w:rsidRPr="00FF7900" w14:paraId="79698A5A" w14:textId="77777777" w:rsidTr="003F31C7">
        <w:trPr>
          <w:jc w:val="center"/>
        </w:trPr>
        <w:tc>
          <w:tcPr>
            <w:tcW w:w="0" w:type="auto"/>
            <w:hideMark/>
          </w:tcPr>
          <w:p w14:paraId="37DE1E28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 басейну, км²</w:t>
            </w:r>
          </w:p>
        </w:tc>
        <w:tc>
          <w:tcPr>
            <w:tcW w:w="0" w:type="auto"/>
            <w:hideMark/>
          </w:tcPr>
          <w:p w14:paraId="5F37C410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1250</w:t>
            </w:r>
          </w:p>
        </w:tc>
      </w:tr>
      <w:tr w:rsidR="001A6C28" w:rsidRPr="00FF7900" w14:paraId="2591C32C" w14:textId="77777777" w:rsidTr="003F31C7">
        <w:trPr>
          <w:jc w:val="center"/>
        </w:trPr>
        <w:tc>
          <w:tcPr>
            <w:tcW w:w="0" w:type="auto"/>
            <w:hideMark/>
          </w:tcPr>
          <w:p w14:paraId="60ED9827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Середньорічна кількість опадів, мм/рік</w:t>
            </w:r>
          </w:p>
        </w:tc>
        <w:tc>
          <w:tcPr>
            <w:tcW w:w="0" w:type="auto"/>
            <w:hideMark/>
          </w:tcPr>
          <w:p w14:paraId="15F2FAF2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650</w:t>
            </w:r>
          </w:p>
        </w:tc>
      </w:tr>
      <w:tr w:rsidR="001A6C28" w:rsidRPr="00FF7900" w14:paraId="130A49BA" w14:textId="77777777" w:rsidTr="003F31C7">
        <w:trPr>
          <w:jc w:val="center"/>
        </w:trPr>
        <w:tc>
          <w:tcPr>
            <w:tcW w:w="0" w:type="auto"/>
            <w:hideMark/>
          </w:tcPr>
          <w:p w14:paraId="63F93DBB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Середньорічний стік, мм/рік</w:t>
            </w:r>
          </w:p>
        </w:tc>
        <w:tc>
          <w:tcPr>
            <w:tcW w:w="0" w:type="auto"/>
            <w:hideMark/>
          </w:tcPr>
          <w:p w14:paraId="6BC22B76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200</w:t>
            </w:r>
          </w:p>
        </w:tc>
      </w:tr>
      <w:tr w:rsidR="001A6C28" w:rsidRPr="00FF7900" w14:paraId="22311016" w14:textId="77777777" w:rsidTr="003F31C7">
        <w:trPr>
          <w:jc w:val="center"/>
        </w:trPr>
        <w:tc>
          <w:tcPr>
            <w:tcW w:w="0" w:type="auto"/>
            <w:hideMark/>
          </w:tcPr>
          <w:p w14:paraId="0CBB21CA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 сільськогосподарських земель, км²</w:t>
            </w:r>
          </w:p>
        </w:tc>
        <w:tc>
          <w:tcPr>
            <w:tcW w:w="0" w:type="auto"/>
            <w:hideMark/>
          </w:tcPr>
          <w:p w14:paraId="020C0539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750</w:t>
            </w:r>
          </w:p>
        </w:tc>
      </w:tr>
      <w:tr w:rsidR="001A6C28" w:rsidRPr="00FF7900" w14:paraId="37C27A40" w14:textId="77777777" w:rsidTr="003F31C7">
        <w:trPr>
          <w:jc w:val="center"/>
        </w:trPr>
        <w:tc>
          <w:tcPr>
            <w:tcW w:w="0" w:type="auto"/>
            <w:hideMark/>
          </w:tcPr>
          <w:p w14:paraId="4F42CE32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 лісів, км²</w:t>
            </w:r>
          </w:p>
        </w:tc>
        <w:tc>
          <w:tcPr>
            <w:tcW w:w="0" w:type="auto"/>
            <w:hideMark/>
          </w:tcPr>
          <w:p w14:paraId="50ED3977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350</w:t>
            </w:r>
          </w:p>
        </w:tc>
      </w:tr>
      <w:tr w:rsidR="001A6C28" w:rsidRPr="00FF7900" w14:paraId="6E39FBF8" w14:textId="77777777" w:rsidTr="003F31C7">
        <w:trPr>
          <w:jc w:val="center"/>
        </w:trPr>
        <w:tc>
          <w:tcPr>
            <w:tcW w:w="0" w:type="auto"/>
            <w:hideMark/>
          </w:tcPr>
          <w:p w14:paraId="3AD8B1EE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 урбанізованих територій, км²</w:t>
            </w:r>
          </w:p>
        </w:tc>
        <w:tc>
          <w:tcPr>
            <w:tcW w:w="0" w:type="auto"/>
            <w:hideMark/>
          </w:tcPr>
          <w:p w14:paraId="262ED8A5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</w:tr>
      <w:tr w:rsidR="001A6C28" w:rsidRPr="00FF7900" w14:paraId="34787B98" w14:textId="77777777" w:rsidTr="003F31C7">
        <w:trPr>
          <w:jc w:val="center"/>
        </w:trPr>
        <w:tc>
          <w:tcPr>
            <w:tcW w:w="0" w:type="auto"/>
            <w:hideMark/>
          </w:tcPr>
          <w:p w14:paraId="4184449E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 водних об'єктів, км²</w:t>
            </w:r>
          </w:p>
        </w:tc>
        <w:tc>
          <w:tcPr>
            <w:tcW w:w="0" w:type="auto"/>
            <w:hideMark/>
          </w:tcPr>
          <w:p w14:paraId="0A492E0E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</w:t>
            </w:r>
          </w:p>
        </w:tc>
      </w:tr>
      <w:tr w:rsidR="001A6C28" w:rsidRPr="00FF7900" w14:paraId="2C7F258F" w14:textId="77777777" w:rsidTr="003F31C7">
        <w:trPr>
          <w:jc w:val="center"/>
        </w:trPr>
        <w:tc>
          <w:tcPr>
            <w:tcW w:w="0" w:type="auto"/>
            <w:hideMark/>
          </w:tcPr>
          <w:p w14:paraId="0D2A4C04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 вміст азоту в ґрунті, мг/кг</w:t>
            </w:r>
          </w:p>
        </w:tc>
        <w:tc>
          <w:tcPr>
            <w:tcW w:w="0" w:type="auto"/>
            <w:hideMark/>
          </w:tcPr>
          <w:p w14:paraId="2AB2E81B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1850</w:t>
            </w:r>
          </w:p>
        </w:tc>
      </w:tr>
      <w:tr w:rsidR="001A6C28" w:rsidRPr="00FF7900" w14:paraId="13F2F9F2" w14:textId="77777777" w:rsidTr="003F31C7">
        <w:trPr>
          <w:jc w:val="center"/>
        </w:trPr>
        <w:tc>
          <w:tcPr>
            <w:tcW w:w="0" w:type="auto"/>
            <w:hideMark/>
          </w:tcPr>
          <w:p w14:paraId="24D098F2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 вміст фосфору в ґрунті, мг/кг</w:t>
            </w:r>
          </w:p>
        </w:tc>
        <w:tc>
          <w:tcPr>
            <w:tcW w:w="0" w:type="auto"/>
            <w:hideMark/>
          </w:tcPr>
          <w:p w14:paraId="71884604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720</w:t>
            </w:r>
          </w:p>
        </w:tc>
      </w:tr>
      <w:tr w:rsidR="001A6C28" w:rsidRPr="00FF7900" w14:paraId="6BD24CEC" w14:textId="77777777" w:rsidTr="003F31C7">
        <w:trPr>
          <w:jc w:val="center"/>
        </w:trPr>
        <w:tc>
          <w:tcPr>
            <w:tcW w:w="0" w:type="auto"/>
            <w:hideMark/>
          </w:tcPr>
          <w:p w14:paraId="6B6B815E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жителів у басейні</w:t>
            </w:r>
          </w:p>
        </w:tc>
        <w:tc>
          <w:tcPr>
            <w:tcW w:w="0" w:type="auto"/>
            <w:hideMark/>
          </w:tcPr>
          <w:p w14:paraId="164EE5CB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180000</w:t>
            </w:r>
          </w:p>
        </w:tc>
      </w:tr>
      <w:tr w:rsidR="001A6C28" w:rsidRPr="00FF7900" w14:paraId="79D84B9B" w14:textId="77777777" w:rsidTr="003F31C7">
        <w:trPr>
          <w:jc w:val="center"/>
        </w:trPr>
        <w:tc>
          <w:tcPr>
            <w:tcW w:w="0" w:type="auto"/>
            <w:hideMark/>
          </w:tcPr>
          <w:p w14:paraId="7DDDF211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Частка жителів, підключених до очисних споруд, %</w:t>
            </w:r>
          </w:p>
        </w:tc>
        <w:tc>
          <w:tcPr>
            <w:tcW w:w="0" w:type="auto"/>
            <w:hideMark/>
          </w:tcPr>
          <w:p w14:paraId="469C6B97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</w:t>
            </w:r>
          </w:p>
        </w:tc>
      </w:tr>
      <w:tr w:rsidR="001A6C28" w:rsidRPr="00FF7900" w14:paraId="172AE5C7" w14:textId="77777777" w:rsidTr="003F31C7">
        <w:trPr>
          <w:jc w:val="center"/>
        </w:trPr>
        <w:tc>
          <w:tcPr>
            <w:tcW w:w="0" w:type="auto"/>
            <w:hideMark/>
          </w:tcPr>
          <w:p w14:paraId="79D96BA5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Ефективність видалення азоту на очисних спорудах, %</w:t>
            </w:r>
          </w:p>
        </w:tc>
        <w:tc>
          <w:tcPr>
            <w:tcW w:w="0" w:type="auto"/>
            <w:hideMark/>
          </w:tcPr>
          <w:p w14:paraId="2503A057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70</w:t>
            </w:r>
          </w:p>
        </w:tc>
      </w:tr>
      <w:tr w:rsidR="001A6C28" w:rsidRPr="00FF7900" w14:paraId="799F4C87" w14:textId="77777777" w:rsidTr="003F31C7">
        <w:trPr>
          <w:jc w:val="center"/>
        </w:trPr>
        <w:tc>
          <w:tcPr>
            <w:tcW w:w="0" w:type="auto"/>
            <w:hideMark/>
          </w:tcPr>
          <w:p w14:paraId="63BDB14C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Ефективність видалення фосфору на очисних спорудах, %</w:t>
            </w:r>
          </w:p>
        </w:tc>
        <w:tc>
          <w:tcPr>
            <w:tcW w:w="0" w:type="auto"/>
            <w:hideMark/>
          </w:tcPr>
          <w:p w14:paraId="7F479EAD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80</w:t>
            </w:r>
          </w:p>
        </w:tc>
      </w:tr>
      <w:tr w:rsidR="001A6C28" w:rsidRPr="00FF7900" w14:paraId="1FF6A129" w14:textId="77777777" w:rsidTr="003F31C7">
        <w:trPr>
          <w:jc w:val="center"/>
        </w:trPr>
        <w:tc>
          <w:tcPr>
            <w:tcW w:w="0" w:type="auto"/>
            <w:hideMark/>
          </w:tcPr>
          <w:p w14:paraId="6F47D6A5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азоту, що вноситься з добривами, т/рік</w:t>
            </w:r>
          </w:p>
        </w:tc>
        <w:tc>
          <w:tcPr>
            <w:tcW w:w="0" w:type="auto"/>
            <w:hideMark/>
          </w:tcPr>
          <w:p w14:paraId="32025EAB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2200</w:t>
            </w:r>
          </w:p>
        </w:tc>
      </w:tr>
      <w:tr w:rsidR="001A6C28" w:rsidRPr="00FF7900" w14:paraId="377D8EA6" w14:textId="77777777" w:rsidTr="003F31C7">
        <w:trPr>
          <w:jc w:val="center"/>
        </w:trPr>
        <w:tc>
          <w:tcPr>
            <w:tcW w:w="0" w:type="auto"/>
            <w:hideMark/>
          </w:tcPr>
          <w:p w14:paraId="53916FF8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Кількість фосфору, що вноситься з добривами, т/рік</w:t>
            </w:r>
          </w:p>
        </w:tc>
        <w:tc>
          <w:tcPr>
            <w:tcW w:w="0" w:type="auto"/>
            <w:hideMark/>
          </w:tcPr>
          <w:p w14:paraId="0D816147" w14:textId="77777777" w:rsidR="001A6C28" w:rsidRPr="00FF7900" w:rsidRDefault="001A6C28" w:rsidP="003F31C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F79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450</w:t>
            </w:r>
          </w:p>
        </w:tc>
      </w:tr>
    </w:tbl>
    <w:p w14:paraId="66D65670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цих даних студенти виконують розрахунки за спрощеною методикою MONERIS для оцінки надходження азоту та фосфору в річковий басейн з різних джерел. Вони розраховують:</w:t>
      </w:r>
    </w:p>
    <w:p w14:paraId="47BEE240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біогенних речовин з точкових джерел (комунальні стоки, промислові підприємства).</w:t>
      </w:r>
    </w:p>
    <w:p w14:paraId="00FA89BF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з атмосферними опадами (прямі випадіння на водну поверхню).</w:t>
      </w:r>
    </w:p>
    <w:p w14:paraId="2683055B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з поверхневим стоком з різних типів територій.</w:t>
      </w:r>
    </w:p>
    <w:p w14:paraId="0B714AE8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з ґрунтовими водами.</w:t>
      </w:r>
    </w:p>
    <w:p w14:paraId="145352E7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внаслідок ерозії ґрунту.</w:t>
      </w:r>
    </w:p>
    <w:p w14:paraId="5BA034FB" w14:textId="77777777" w:rsidR="001A6C28" w:rsidRPr="00FF7900" w:rsidRDefault="001A6C28" w:rsidP="001A6C28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Сумарне надходження біогенних речовин та частку кожного шляху надходження.</w:t>
      </w:r>
    </w:p>
    <w:p w14:paraId="2C1D6733" w14:textId="77777777" w:rsidR="001A6C28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виконання розрахунків студенти будують діаграми, що відображають внесок різних джерел у загальне надходження азоту та фосфору в річковий басейн. На основі отриманих результатів вони аналізують основні шляхи надходження біогенних речовин та пропонують можливі заходи щодо їх зменшення.</w:t>
      </w:r>
    </w:p>
    <w:p w14:paraId="30106958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F0CE1CC" w14:textId="77777777" w:rsidR="001A6C28" w:rsidRPr="00FF7900" w:rsidRDefault="001A6C28" w:rsidP="001A6C28">
      <w:pPr>
        <w:spacing w:before="100" w:beforeAutospacing="1" w:after="100" w:afterAutospacing="1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Контрольні запитання:</w:t>
      </w:r>
    </w:p>
    <w:p w14:paraId="2C3F39E2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модель MONERIS та які основні процеси вона описує?</w:t>
      </w:r>
    </w:p>
    <w:p w14:paraId="109C66CD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шляхи надходження біогенних речовин у водні об'єкти враховуються в моделі MONERIS?</w:t>
      </w:r>
    </w:p>
    <w:p w14:paraId="5B2075D3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вхідні дані необхідні для застосування моделі MONERIS?</w:t>
      </w:r>
    </w:p>
    <w:p w14:paraId="07551811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відрізняються точкові та дифузні джерела надходження біогенних речовин та які особливості їх моделювання?</w:t>
      </w:r>
    </w:p>
    <w:p w14:paraId="6688F3AE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враховується вплив землекористування на надходження біогенних речовин у водні об'єкти в моделі MONERIS?</w:t>
      </w:r>
    </w:p>
    <w:p w14:paraId="2EF93A32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Яким чином гідрологічні характеристики басейну впливають на надходження біогенних речовин?</w:t>
      </w:r>
    </w:p>
    <w:p w14:paraId="2A3A5DCB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впливають на інтенсивність вимивання азоту та фосфору з сільськогосподарських угідь?</w:t>
      </w:r>
    </w:p>
    <w:p w14:paraId="1C2CEF1E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можна використовувати результати моделювання за допомогою MONERIS для розробки стратегій зменшення </w:t>
      </w:r>
      <w:proofErr w:type="spellStart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евтрофікації</w:t>
      </w:r>
      <w:proofErr w:type="spellEnd"/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водних об'єктів?</w:t>
      </w:r>
    </w:p>
    <w:p w14:paraId="02DE187C" w14:textId="77777777" w:rsidR="001A6C28" w:rsidRPr="00FF7900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Які обмеження має модель MONERIS та в яких випадках її застосування може бути некоректним?</w:t>
      </w:r>
    </w:p>
    <w:p w14:paraId="7F56404C" w14:textId="4243F2A0" w:rsidR="001A6C28" w:rsidRPr="001A6C28" w:rsidRDefault="001A6C28" w:rsidP="001A6C28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7900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Яким чином можна адаптувати модель MONERIS до конкретних умов річкового басейну?</w:t>
      </w:r>
    </w:p>
    <w:sectPr w:rsidR="001A6C28" w:rsidRPr="001A6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F0E5E"/>
    <w:multiLevelType w:val="multilevel"/>
    <w:tmpl w:val="C23A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130069"/>
    <w:multiLevelType w:val="multilevel"/>
    <w:tmpl w:val="D8D2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127739">
    <w:abstractNumId w:val="0"/>
  </w:num>
  <w:num w:numId="2" w16cid:durableId="2061518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C28"/>
    <w:rsid w:val="001A6C28"/>
    <w:rsid w:val="0033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ED8F"/>
  <w15:chartTrackingRefBased/>
  <w15:docId w15:val="{F8A95B52-7DD5-481C-9A98-8B9D2D6F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C28"/>
    <w:pPr>
      <w:spacing w:after="200" w:line="276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6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6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6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6C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6C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6C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6C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6C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6C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A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6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A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6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A6C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6C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6C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6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A6C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6C2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1A6C28"/>
    <w:pPr>
      <w:spacing w:after="0" w:line="240" w:lineRule="auto"/>
    </w:pPr>
    <w:rPr>
      <w:kern w:val="0"/>
      <w:sz w:val="22"/>
      <w:szCs w:val="22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2026-09-26T08:48:00Z</dcterms:created>
  <dcterms:modified xsi:type="dcterms:W3CDTF">2026-09-26T08:50:00Z</dcterms:modified>
</cp:coreProperties>
</file>