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1073C" w14:textId="3A9DA909" w:rsidR="00B17894" w:rsidRPr="00B17894" w:rsidRDefault="00B17894" w:rsidP="00B17894">
      <w:pPr>
        <w:spacing w:before="100" w:beforeAutospacing="1" w:after="100" w:afterAutospacing="1"/>
        <w:contextualSpacing/>
        <w:jc w:val="center"/>
        <w:outlineLvl w:val="0"/>
        <w:rPr>
          <w:rFonts w:ascii="Times New Roman" w:eastAsia="Times New Roman" w:hAnsi="Times New Roman" w:cs="Times New Roman"/>
          <w:b/>
          <w:bCs/>
          <w:kern w:val="36"/>
          <w:sz w:val="28"/>
          <w:szCs w:val="28"/>
          <w:lang w:eastAsia="uk-UA"/>
        </w:rPr>
      </w:pPr>
      <w:r w:rsidRPr="00B17894">
        <w:rPr>
          <w:rFonts w:ascii="Times New Roman" w:eastAsia="Times New Roman" w:hAnsi="Times New Roman" w:cs="Times New Roman"/>
          <w:b/>
          <w:bCs/>
          <w:kern w:val="36"/>
          <w:sz w:val="28"/>
          <w:szCs w:val="28"/>
          <w:lang w:eastAsia="uk-UA"/>
        </w:rPr>
        <w:t>ЛАБОРАТОРНА РОБОТА 1</w:t>
      </w:r>
    </w:p>
    <w:p w14:paraId="0FAA5CF7" w14:textId="77777777" w:rsidR="00B17894" w:rsidRPr="00B17894" w:rsidRDefault="00B17894" w:rsidP="00B17894">
      <w:pPr>
        <w:spacing w:before="100" w:beforeAutospacing="1" w:after="100" w:afterAutospacing="1"/>
        <w:contextualSpacing/>
        <w:jc w:val="center"/>
        <w:outlineLvl w:val="0"/>
        <w:rPr>
          <w:rFonts w:ascii="Times New Roman" w:eastAsia="Times New Roman" w:hAnsi="Times New Roman" w:cs="Times New Roman"/>
          <w:b/>
          <w:bCs/>
          <w:kern w:val="36"/>
          <w:sz w:val="28"/>
          <w:szCs w:val="28"/>
          <w:lang w:eastAsia="uk-UA"/>
        </w:rPr>
      </w:pPr>
    </w:p>
    <w:p w14:paraId="160F5C45" w14:textId="09D3A475" w:rsidR="00B17894" w:rsidRPr="00B17894" w:rsidRDefault="00B17894" w:rsidP="00B17894">
      <w:pPr>
        <w:spacing w:before="100" w:beforeAutospacing="1" w:after="100" w:afterAutospacing="1"/>
        <w:contextualSpacing/>
        <w:jc w:val="center"/>
        <w:outlineLvl w:val="0"/>
        <w:rPr>
          <w:rFonts w:ascii="Times New Roman" w:eastAsia="Times New Roman" w:hAnsi="Times New Roman" w:cs="Times New Roman"/>
          <w:b/>
          <w:bCs/>
          <w:kern w:val="36"/>
          <w:sz w:val="28"/>
          <w:szCs w:val="28"/>
          <w:lang w:eastAsia="uk-UA"/>
        </w:rPr>
      </w:pPr>
      <w:r w:rsidRPr="00B17894">
        <w:rPr>
          <w:rFonts w:ascii="Times New Roman" w:eastAsia="Times New Roman" w:hAnsi="Times New Roman" w:cs="Times New Roman"/>
          <w:b/>
          <w:bCs/>
          <w:kern w:val="36"/>
          <w:sz w:val="28"/>
          <w:szCs w:val="28"/>
          <w:lang w:eastAsia="uk-UA"/>
        </w:rPr>
        <w:t>РОЗРАХУНОК ТА МОДЕЛЮВАННЯ ПРОЦЕСІВ САМООЧИЩЕННЯ РІЧОК ЗА МОДЕЛЛЮ СТРІТЕРА-ФЕЛПСА. ВИЗНАЧЕННЯ КРИТИЧНОЇ ТОЧКИ ДЕФІЦИТУ КИСНЮ</w:t>
      </w:r>
    </w:p>
    <w:p w14:paraId="13C2FC84" w14:textId="77777777" w:rsidR="00B17894" w:rsidRPr="00FF7900" w:rsidRDefault="00B17894" w:rsidP="00B17894">
      <w:pPr>
        <w:spacing w:before="100" w:beforeAutospacing="1" w:after="100" w:afterAutospacing="1"/>
        <w:contextualSpacing/>
        <w:jc w:val="center"/>
        <w:outlineLvl w:val="0"/>
        <w:rPr>
          <w:rFonts w:ascii="Times New Roman" w:eastAsia="Times New Roman" w:hAnsi="Times New Roman" w:cs="Times New Roman"/>
          <w:b/>
          <w:bCs/>
          <w:i/>
          <w:kern w:val="36"/>
          <w:sz w:val="28"/>
          <w:szCs w:val="28"/>
          <w:lang w:eastAsia="uk-UA"/>
        </w:rPr>
      </w:pPr>
    </w:p>
    <w:p w14:paraId="665383E1" w14:textId="77777777" w:rsidR="00B17894" w:rsidRPr="00FF7900" w:rsidRDefault="00B17894" w:rsidP="00B17894">
      <w:pPr>
        <w:spacing w:before="100" w:beforeAutospacing="1" w:after="100" w:afterAutospacing="1"/>
        <w:ind w:firstLine="567"/>
        <w:contextualSpacing/>
        <w:jc w:val="both"/>
        <w:outlineLvl w:val="1"/>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Мета заняття</w:t>
      </w:r>
    </w:p>
    <w:p w14:paraId="2CF72D26"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Навчити студентів застосовувати модель </w:t>
      </w:r>
      <w:proofErr w:type="spellStart"/>
      <w:r w:rsidRPr="00FF7900">
        <w:rPr>
          <w:rFonts w:ascii="Times New Roman" w:eastAsia="Times New Roman" w:hAnsi="Times New Roman" w:cs="Times New Roman"/>
          <w:sz w:val="28"/>
          <w:szCs w:val="28"/>
          <w:lang w:eastAsia="uk-UA"/>
        </w:rPr>
        <w:t>Стрітера-Фелпса</w:t>
      </w:r>
      <w:proofErr w:type="spellEnd"/>
      <w:r w:rsidRPr="00FF7900">
        <w:rPr>
          <w:rFonts w:ascii="Times New Roman" w:eastAsia="Times New Roman" w:hAnsi="Times New Roman" w:cs="Times New Roman"/>
          <w:sz w:val="28"/>
          <w:szCs w:val="28"/>
          <w:lang w:eastAsia="uk-UA"/>
        </w:rPr>
        <w:t xml:space="preserve"> для розрахунку та моделювання процесів самоочищення річок, визначати критичну точку дефіциту кисню та аналізувати отримані результати.</w:t>
      </w:r>
    </w:p>
    <w:p w14:paraId="218BDF8D" w14:textId="77777777" w:rsidR="00B17894" w:rsidRPr="00FF7900" w:rsidRDefault="00B17894" w:rsidP="00B17894">
      <w:pPr>
        <w:spacing w:before="100" w:beforeAutospacing="1" w:after="100" w:afterAutospacing="1"/>
        <w:ind w:firstLine="567"/>
        <w:contextualSpacing/>
        <w:jc w:val="both"/>
        <w:outlineLvl w:val="1"/>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Хід роботи</w:t>
      </w:r>
    </w:p>
    <w:p w14:paraId="0E0BE869"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На початку заняття студенти знайомляться з теоретичними основами моделі </w:t>
      </w:r>
      <w:proofErr w:type="spellStart"/>
      <w:r w:rsidRPr="00FF7900">
        <w:rPr>
          <w:rFonts w:ascii="Times New Roman" w:eastAsia="Times New Roman" w:hAnsi="Times New Roman" w:cs="Times New Roman"/>
          <w:sz w:val="28"/>
          <w:szCs w:val="28"/>
          <w:lang w:eastAsia="uk-UA"/>
        </w:rPr>
        <w:t>Стрітера-Фелпса</w:t>
      </w:r>
      <w:proofErr w:type="spellEnd"/>
      <w:r w:rsidRPr="00FF7900">
        <w:rPr>
          <w:rFonts w:ascii="Times New Roman" w:eastAsia="Times New Roman" w:hAnsi="Times New Roman" w:cs="Times New Roman"/>
          <w:sz w:val="28"/>
          <w:szCs w:val="28"/>
          <w:lang w:eastAsia="uk-UA"/>
        </w:rPr>
        <w:t xml:space="preserve">, яка є класичною моделлю для розрахунку розподілу розчиненого кисню в річках під впливом органічного забруднення. Розглядаються основні рівняння моделі, які описують процеси біохімічного споживання кисню (БСК) та </w:t>
      </w:r>
      <w:proofErr w:type="spellStart"/>
      <w:r w:rsidRPr="00FF7900">
        <w:rPr>
          <w:rFonts w:ascii="Times New Roman" w:eastAsia="Times New Roman" w:hAnsi="Times New Roman" w:cs="Times New Roman"/>
          <w:sz w:val="28"/>
          <w:szCs w:val="28"/>
          <w:lang w:eastAsia="uk-UA"/>
        </w:rPr>
        <w:t>реаерації</w:t>
      </w:r>
      <w:proofErr w:type="spellEnd"/>
      <w:r w:rsidRPr="00FF7900">
        <w:rPr>
          <w:rFonts w:ascii="Times New Roman" w:eastAsia="Times New Roman" w:hAnsi="Times New Roman" w:cs="Times New Roman"/>
          <w:sz w:val="28"/>
          <w:szCs w:val="28"/>
          <w:lang w:eastAsia="uk-UA"/>
        </w:rPr>
        <w:t>. Особлива увага приділяється фізичному змісту коефіцієнтів моделі та умовам її застосування.</w:t>
      </w:r>
    </w:p>
    <w:p w14:paraId="79DFC2DB"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Студенти вивчають математичне представлення моделі </w:t>
      </w:r>
      <w:proofErr w:type="spellStart"/>
      <w:r w:rsidRPr="00FF7900">
        <w:rPr>
          <w:rFonts w:ascii="Times New Roman" w:eastAsia="Times New Roman" w:hAnsi="Times New Roman" w:cs="Times New Roman"/>
          <w:sz w:val="28"/>
          <w:szCs w:val="28"/>
          <w:lang w:eastAsia="uk-UA"/>
        </w:rPr>
        <w:t>Стрітера-Фелпса</w:t>
      </w:r>
      <w:proofErr w:type="spellEnd"/>
      <w:r w:rsidRPr="00FF7900">
        <w:rPr>
          <w:rFonts w:ascii="Times New Roman" w:eastAsia="Times New Roman" w:hAnsi="Times New Roman" w:cs="Times New Roman"/>
          <w:sz w:val="28"/>
          <w:szCs w:val="28"/>
          <w:lang w:eastAsia="uk-UA"/>
        </w:rPr>
        <w:t>:</w:t>
      </w:r>
    </w:p>
    <w:p w14:paraId="18434D0A"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proofErr w:type="spellStart"/>
      <w:r w:rsidRPr="00FF7900">
        <w:rPr>
          <w:rFonts w:ascii="Times New Roman" w:eastAsia="Times New Roman" w:hAnsi="Times New Roman" w:cs="Times New Roman"/>
          <w:sz w:val="28"/>
          <w:szCs w:val="28"/>
          <w:lang w:eastAsia="uk-UA"/>
        </w:rPr>
        <w:t>dL</w:t>
      </w:r>
      <w:proofErr w:type="spellEnd"/>
      <w:r w:rsidRPr="00FF7900">
        <w:rPr>
          <w:rFonts w:ascii="Times New Roman" w:eastAsia="Times New Roman" w:hAnsi="Times New Roman" w:cs="Times New Roman"/>
          <w:sz w:val="28"/>
          <w:szCs w:val="28"/>
          <w:lang w:eastAsia="uk-UA"/>
        </w:rPr>
        <w:t>/</w:t>
      </w:r>
      <w:proofErr w:type="spellStart"/>
      <w:r w:rsidRPr="00FF7900">
        <w:rPr>
          <w:rFonts w:ascii="Times New Roman" w:eastAsia="Times New Roman" w:hAnsi="Times New Roman" w:cs="Times New Roman"/>
          <w:sz w:val="28"/>
          <w:szCs w:val="28"/>
          <w:lang w:eastAsia="uk-UA"/>
        </w:rPr>
        <w:t>dt</w:t>
      </w:r>
      <w:proofErr w:type="spellEnd"/>
      <w:r w:rsidRPr="00FF7900">
        <w:rPr>
          <w:rFonts w:ascii="Times New Roman" w:eastAsia="Times New Roman" w:hAnsi="Times New Roman" w:cs="Times New Roman"/>
          <w:sz w:val="28"/>
          <w:szCs w:val="28"/>
          <w:lang w:eastAsia="uk-UA"/>
        </w:rPr>
        <w:t xml:space="preserve"> = -K₁L </w:t>
      </w:r>
      <w:proofErr w:type="spellStart"/>
      <w:r w:rsidRPr="00FF7900">
        <w:rPr>
          <w:rFonts w:ascii="Times New Roman" w:eastAsia="Times New Roman" w:hAnsi="Times New Roman" w:cs="Times New Roman"/>
          <w:sz w:val="28"/>
          <w:szCs w:val="28"/>
          <w:lang w:eastAsia="uk-UA"/>
        </w:rPr>
        <w:t>dD</w:t>
      </w:r>
      <w:proofErr w:type="spellEnd"/>
      <w:r w:rsidRPr="00FF7900">
        <w:rPr>
          <w:rFonts w:ascii="Times New Roman" w:eastAsia="Times New Roman" w:hAnsi="Times New Roman" w:cs="Times New Roman"/>
          <w:sz w:val="28"/>
          <w:szCs w:val="28"/>
          <w:lang w:eastAsia="uk-UA"/>
        </w:rPr>
        <w:t>/</w:t>
      </w:r>
      <w:proofErr w:type="spellStart"/>
      <w:r w:rsidRPr="00FF7900">
        <w:rPr>
          <w:rFonts w:ascii="Times New Roman" w:eastAsia="Times New Roman" w:hAnsi="Times New Roman" w:cs="Times New Roman"/>
          <w:sz w:val="28"/>
          <w:szCs w:val="28"/>
          <w:lang w:eastAsia="uk-UA"/>
        </w:rPr>
        <w:t>dt</w:t>
      </w:r>
      <w:proofErr w:type="spellEnd"/>
      <w:r w:rsidRPr="00FF7900">
        <w:rPr>
          <w:rFonts w:ascii="Times New Roman" w:eastAsia="Times New Roman" w:hAnsi="Times New Roman" w:cs="Times New Roman"/>
          <w:sz w:val="28"/>
          <w:szCs w:val="28"/>
          <w:lang w:eastAsia="uk-UA"/>
        </w:rPr>
        <w:t xml:space="preserve"> = K₁L - K₂D</w:t>
      </w:r>
    </w:p>
    <w:p w14:paraId="68EF2750"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де L - БСК (мг/л), D - дефіцит кисню (мг/л), K₁ - константа швидкості біохімічного окислення органічних речовин (доба⁻¹), K₂ - константа </w:t>
      </w:r>
      <w:proofErr w:type="spellStart"/>
      <w:r w:rsidRPr="00FF7900">
        <w:rPr>
          <w:rFonts w:ascii="Times New Roman" w:eastAsia="Times New Roman" w:hAnsi="Times New Roman" w:cs="Times New Roman"/>
          <w:sz w:val="28"/>
          <w:szCs w:val="28"/>
          <w:lang w:eastAsia="uk-UA"/>
        </w:rPr>
        <w:t>реаерації</w:t>
      </w:r>
      <w:proofErr w:type="spellEnd"/>
      <w:r w:rsidRPr="00FF7900">
        <w:rPr>
          <w:rFonts w:ascii="Times New Roman" w:eastAsia="Times New Roman" w:hAnsi="Times New Roman" w:cs="Times New Roman"/>
          <w:sz w:val="28"/>
          <w:szCs w:val="28"/>
          <w:lang w:eastAsia="uk-UA"/>
        </w:rPr>
        <w:t xml:space="preserve"> (доба⁻¹), t - час (доба).</w:t>
      </w:r>
    </w:p>
    <w:p w14:paraId="39C4081F"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Далі студенти переходять до практичної частини, де виконують розрахунки для конкретної річки з використанням наданих вихідних даних:</w:t>
      </w:r>
    </w:p>
    <w:tbl>
      <w:tblPr>
        <w:tblStyle w:val="ae"/>
        <w:tblW w:w="0" w:type="auto"/>
        <w:jc w:val="center"/>
        <w:tblLook w:val="04A0" w:firstRow="1" w:lastRow="0" w:firstColumn="1" w:lastColumn="0" w:noHBand="0" w:noVBand="1"/>
      </w:tblPr>
      <w:tblGrid>
        <w:gridCol w:w="6200"/>
        <w:gridCol w:w="1422"/>
      </w:tblGrid>
      <w:tr w:rsidR="00B17894" w:rsidRPr="00FF7900" w14:paraId="0FA0BDF2" w14:textId="77777777" w:rsidTr="003F31C7">
        <w:trPr>
          <w:jc w:val="center"/>
        </w:trPr>
        <w:tc>
          <w:tcPr>
            <w:tcW w:w="0" w:type="auto"/>
            <w:hideMark/>
          </w:tcPr>
          <w:p w14:paraId="307861DB" w14:textId="77777777" w:rsidR="00B17894" w:rsidRPr="00FF7900" w:rsidRDefault="00B17894" w:rsidP="003F31C7">
            <w:pPr>
              <w:contextualSpacing/>
              <w:jc w:val="both"/>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Параметр</w:t>
            </w:r>
          </w:p>
        </w:tc>
        <w:tc>
          <w:tcPr>
            <w:tcW w:w="0" w:type="auto"/>
            <w:hideMark/>
          </w:tcPr>
          <w:p w14:paraId="154EEB2C" w14:textId="77777777" w:rsidR="00B17894" w:rsidRPr="00FF7900" w:rsidRDefault="00B17894" w:rsidP="003F31C7">
            <w:pPr>
              <w:contextualSpacing/>
              <w:jc w:val="both"/>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Значення</w:t>
            </w:r>
          </w:p>
        </w:tc>
      </w:tr>
      <w:tr w:rsidR="00B17894" w:rsidRPr="00FF7900" w14:paraId="0A4034A1" w14:textId="77777777" w:rsidTr="003F31C7">
        <w:trPr>
          <w:jc w:val="center"/>
        </w:trPr>
        <w:tc>
          <w:tcPr>
            <w:tcW w:w="0" w:type="auto"/>
            <w:hideMark/>
          </w:tcPr>
          <w:p w14:paraId="24A3A0EB"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Відстань від джерела забруднення, км</w:t>
            </w:r>
          </w:p>
        </w:tc>
        <w:tc>
          <w:tcPr>
            <w:tcW w:w="0" w:type="auto"/>
            <w:hideMark/>
          </w:tcPr>
          <w:p w14:paraId="34610D19"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0</w:t>
            </w:r>
          </w:p>
        </w:tc>
      </w:tr>
      <w:tr w:rsidR="00B17894" w:rsidRPr="00FF7900" w14:paraId="5564B5ED" w14:textId="77777777" w:rsidTr="003F31C7">
        <w:trPr>
          <w:jc w:val="center"/>
        </w:trPr>
        <w:tc>
          <w:tcPr>
            <w:tcW w:w="0" w:type="auto"/>
            <w:hideMark/>
          </w:tcPr>
          <w:p w14:paraId="5C2FAEF9"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Швидкість течії, м/с</w:t>
            </w:r>
          </w:p>
        </w:tc>
        <w:tc>
          <w:tcPr>
            <w:tcW w:w="0" w:type="auto"/>
            <w:hideMark/>
          </w:tcPr>
          <w:p w14:paraId="2C585FEC"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0.5</w:t>
            </w:r>
          </w:p>
        </w:tc>
      </w:tr>
      <w:tr w:rsidR="00B17894" w:rsidRPr="00FF7900" w14:paraId="11954BE7" w14:textId="77777777" w:rsidTr="003F31C7">
        <w:trPr>
          <w:jc w:val="center"/>
        </w:trPr>
        <w:tc>
          <w:tcPr>
            <w:tcW w:w="0" w:type="auto"/>
            <w:hideMark/>
          </w:tcPr>
          <w:p w14:paraId="13A43318"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Початкова концентрація БСК₅, мг/л</w:t>
            </w:r>
          </w:p>
        </w:tc>
        <w:tc>
          <w:tcPr>
            <w:tcW w:w="0" w:type="auto"/>
            <w:hideMark/>
          </w:tcPr>
          <w:p w14:paraId="1D48EC13"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25</w:t>
            </w:r>
          </w:p>
        </w:tc>
      </w:tr>
      <w:tr w:rsidR="00B17894" w:rsidRPr="00FF7900" w14:paraId="1D992707" w14:textId="77777777" w:rsidTr="003F31C7">
        <w:trPr>
          <w:jc w:val="center"/>
        </w:trPr>
        <w:tc>
          <w:tcPr>
            <w:tcW w:w="0" w:type="auto"/>
            <w:hideMark/>
          </w:tcPr>
          <w:p w14:paraId="278D9CD5"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Початкова концентрація розчиненого кисню, мг/л</w:t>
            </w:r>
          </w:p>
        </w:tc>
        <w:tc>
          <w:tcPr>
            <w:tcW w:w="0" w:type="auto"/>
            <w:hideMark/>
          </w:tcPr>
          <w:p w14:paraId="7EC66EE4"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6.5</w:t>
            </w:r>
          </w:p>
        </w:tc>
      </w:tr>
      <w:tr w:rsidR="00B17894" w:rsidRPr="00FF7900" w14:paraId="1BB09ADF" w14:textId="77777777" w:rsidTr="003F31C7">
        <w:trPr>
          <w:jc w:val="center"/>
        </w:trPr>
        <w:tc>
          <w:tcPr>
            <w:tcW w:w="0" w:type="auto"/>
            <w:hideMark/>
          </w:tcPr>
          <w:p w14:paraId="177AF74F"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Температура води, °C</w:t>
            </w:r>
          </w:p>
        </w:tc>
        <w:tc>
          <w:tcPr>
            <w:tcW w:w="0" w:type="auto"/>
            <w:hideMark/>
          </w:tcPr>
          <w:p w14:paraId="636E5B47"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20</w:t>
            </w:r>
          </w:p>
        </w:tc>
      </w:tr>
      <w:tr w:rsidR="00B17894" w:rsidRPr="00FF7900" w14:paraId="42A8114A" w14:textId="77777777" w:rsidTr="003F31C7">
        <w:trPr>
          <w:jc w:val="center"/>
        </w:trPr>
        <w:tc>
          <w:tcPr>
            <w:tcW w:w="0" w:type="auto"/>
            <w:hideMark/>
          </w:tcPr>
          <w:p w14:paraId="61321BF3"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Насичення киснем при даній температурі, мг/л</w:t>
            </w:r>
          </w:p>
        </w:tc>
        <w:tc>
          <w:tcPr>
            <w:tcW w:w="0" w:type="auto"/>
            <w:hideMark/>
          </w:tcPr>
          <w:p w14:paraId="5A67294B"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9.1</w:t>
            </w:r>
          </w:p>
        </w:tc>
      </w:tr>
      <w:tr w:rsidR="00B17894" w:rsidRPr="00FF7900" w14:paraId="53E50169" w14:textId="77777777" w:rsidTr="003F31C7">
        <w:trPr>
          <w:jc w:val="center"/>
        </w:trPr>
        <w:tc>
          <w:tcPr>
            <w:tcW w:w="0" w:type="auto"/>
            <w:hideMark/>
          </w:tcPr>
          <w:p w14:paraId="44AC2511"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Глибина річки, м</w:t>
            </w:r>
          </w:p>
        </w:tc>
        <w:tc>
          <w:tcPr>
            <w:tcW w:w="0" w:type="auto"/>
            <w:hideMark/>
          </w:tcPr>
          <w:p w14:paraId="1B16C735" w14:textId="77777777" w:rsidR="00B17894" w:rsidRPr="00FF7900" w:rsidRDefault="00B17894" w:rsidP="003F31C7">
            <w:pPr>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2.5</w:t>
            </w:r>
          </w:p>
        </w:tc>
      </w:tr>
    </w:tbl>
    <w:p w14:paraId="13740C16"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За допомогою цих даних студенти розраховують:</w:t>
      </w:r>
    </w:p>
    <w:p w14:paraId="660073E4" w14:textId="77777777" w:rsidR="00B17894" w:rsidRPr="00FF7900" w:rsidRDefault="00B17894" w:rsidP="00B17894">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Коефіцієнти K₁ та K₂ для кожної ділянки річки, враховуючи залежність цих коефіцієнтів від температури води та гідравлічних характеристик потоку.</w:t>
      </w:r>
    </w:p>
    <w:p w14:paraId="3A6AF21B" w14:textId="77777777" w:rsidR="00B17894" w:rsidRPr="00FF7900" w:rsidRDefault="00B17894" w:rsidP="00B17894">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Значення БСК та дефіциту кисню на різних відстанях від джерела забруднення.</w:t>
      </w:r>
    </w:p>
    <w:p w14:paraId="33D6CE73" w14:textId="77777777" w:rsidR="00B17894" w:rsidRPr="00FF7900" w:rsidRDefault="00B17894" w:rsidP="00B17894">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Концентрацію розчиненого кисню на різних ділянках річки.</w:t>
      </w:r>
    </w:p>
    <w:p w14:paraId="52BAE70C" w14:textId="77777777" w:rsidR="00B17894" w:rsidRPr="00FF7900" w:rsidRDefault="00B17894" w:rsidP="00B17894">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lastRenderedPageBreak/>
        <w:t>Критичну точку дефіциту кисню (місце та час досягнення мінімальної концентрації кисню).</w:t>
      </w:r>
    </w:p>
    <w:p w14:paraId="673E85F5"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Для визначення критичної точки дефіциту кисню студенти використовують формулу:</w:t>
      </w:r>
    </w:p>
    <w:p w14:paraId="64A5F699"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proofErr w:type="spellStart"/>
      <w:r w:rsidRPr="00FF7900">
        <w:rPr>
          <w:rFonts w:ascii="Times New Roman" w:eastAsia="Times New Roman" w:hAnsi="Times New Roman" w:cs="Times New Roman"/>
          <w:sz w:val="28"/>
          <w:szCs w:val="28"/>
          <w:lang w:eastAsia="uk-UA"/>
        </w:rPr>
        <w:t>t_кр</w:t>
      </w:r>
      <w:proofErr w:type="spellEnd"/>
      <w:r w:rsidRPr="00FF7900">
        <w:rPr>
          <w:rFonts w:ascii="Times New Roman" w:eastAsia="Times New Roman" w:hAnsi="Times New Roman" w:cs="Times New Roman"/>
          <w:sz w:val="28"/>
          <w:szCs w:val="28"/>
          <w:lang w:eastAsia="uk-UA"/>
        </w:rPr>
        <w:t xml:space="preserve"> = (1/(K₂-K₁)) * </w:t>
      </w:r>
      <w:proofErr w:type="spellStart"/>
      <w:r w:rsidRPr="00FF7900">
        <w:rPr>
          <w:rFonts w:ascii="Times New Roman" w:eastAsia="Times New Roman" w:hAnsi="Times New Roman" w:cs="Times New Roman"/>
          <w:sz w:val="28"/>
          <w:szCs w:val="28"/>
          <w:lang w:eastAsia="uk-UA"/>
        </w:rPr>
        <w:t>ln</w:t>
      </w:r>
      <w:proofErr w:type="spellEnd"/>
      <w:r w:rsidRPr="00FF7900">
        <w:rPr>
          <w:rFonts w:ascii="Times New Roman" w:eastAsia="Times New Roman" w:hAnsi="Times New Roman" w:cs="Times New Roman"/>
          <w:sz w:val="28"/>
          <w:szCs w:val="28"/>
          <w:lang w:eastAsia="uk-UA"/>
        </w:rPr>
        <w:t>(K₂/K₁)</w:t>
      </w:r>
    </w:p>
    <w:p w14:paraId="4DF22951" w14:textId="77777777" w:rsidR="00B17894" w:rsidRPr="00FF7900" w:rsidRDefault="00B17894" w:rsidP="00B17894">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Після виконання розрахунків студенти будують графіки зміни БСК, дефіциту кисню та концентрації розчиненого кисню вздовж течії річки, визначають на них критичну точку та аналізують отримані результати. Особлива увага приділяється аналізу впливу різних факторів (температури води, швидкості течії, глибини річки тощо) на процеси самоочищення.</w:t>
      </w:r>
    </w:p>
    <w:p w14:paraId="5E27EB2E" w14:textId="77777777" w:rsidR="00B17894" w:rsidRPr="00FF7900" w:rsidRDefault="00B17894" w:rsidP="00B17894">
      <w:pPr>
        <w:spacing w:before="100" w:beforeAutospacing="1" w:after="100" w:afterAutospacing="1"/>
        <w:ind w:firstLine="567"/>
        <w:contextualSpacing/>
        <w:jc w:val="both"/>
        <w:outlineLvl w:val="1"/>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Контрольні запитання:</w:t>
      </w:r>
    </w:p>
    <w:p w14:paraId="3C762CFC"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Які процеси описує модель </w:t>
      </w:r>
      <w:proofErr w:type="spellStart"/>
      <w:r w:rsidRPr="00FF7900">
        <w:rPr>
          <w:rFonts w:ascii="Times New Roman" w:eastAsia="Times New Roman" w:hAnsi="Times New Roman" w:cs="Times New Roman"/>
          <w:sz w:val="28"/>
          <w:szCs w:val="28"/>
          <w:lang w:eastAsia="uk-UA"/>
        </w:rPr>
        <w:t>Стрітера-Фелпса</w:t>
      </w:r>
      <w:proofErr w:type="spellEnd"/>
      <w:r w:rsidRPr="00FF7900">
        <w:rPr>
          <w:rFonts w:ascii="Times New Roman" w:eastAsia="Times New Roman" w:hAnsi="Times New Roman" w:cs="Times New Roman"/>
          <w:sz w:val="28"/>
          <w:szCs w:val="28"/>
          <w:lang w:eastAsia="uk-UA"/>
        </w:rPr>
        <w:t xml:space="preserve"> та в чому полягає її фізичний зміст?</w:t>
      </w:r>
    </w:p>
    <w:p w14:paraId="1CA8A141"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Які фактори впливають на константу швидкості біохімічного окислення органічних речовин (K₁)?</w:t>
      </w:r>
    </w:p>
    <w:p w14:paraId="0C3F0F10"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Від чого залежить константа </w:t>
      </w:r>
      <w:proofErr w:type="spellStart"/>
      <w:r w:rsidRPr="00FF7900">
        <w:rPr>
          <w:rFonts w:ascii="Times New Roman" w:eastAsia="Times New Roman" w:hAnsi="Times New Roman" w:cs="Times New Roman"/>
          <w:sz w:val="28"/>
          <w:szCs w:val="28"/>
          <w:lang w:eastAsia="uk-UA"/>
        </w:rPr>
        <w:t>реаерації</w:t>
      </w:r>
      <w:proofErr w:type="spellEnd"/>
      <w:r w:rsidRPr="00FF7900">
        <w:rPr>
          <w:rFonts w:ascii="Times New Roman" w:eastAsia="Times New Roman" w:hAnsi="Times New Roman" w:cs="Times New Roman"/>
          <w:sz w:val="28"/>
          <w:szCs w:val="28"/>
          <w:lang w:eastAsia="uk-UA"/>
        </w:rPr>
        <w:t xml:space="preserve"> (K₂) та як її можна розрахувати?</w:t>
      </w:r>
    </w:p>
    <w:p w14:paraId="6A31811F"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Що таке критична точка дефіциту кисню та як вона визначається?</w:t>
      </w:r>
    </w:p>
    <w:p w14:paraId="083377D4"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Чому концентрація розчиненого кисню спочатку зменшується, а потім починає зростати вздовж течії річки після скиду органічних забруднень?</w:t>
      </w:r>
    </w:p>
    <w:p w14:paraId="3988B344"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Як впливає температура води на процеси самоочищення річки?</w:t>
      </w:r>
    </w:p>
    <w:p w14:paraId="4C521AD5"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Яким чином швидкість течії та глибина річки впливають на </w:t>
      </w:r>
      <w:proofErr w:type="spellStart"/>
      <w:r w:rsidRPr="00FF7900">
        <w:rPr>
          <w:rFonts w:ascii="Times New Roman" w:eastAsia="Times New Roman" w:hAnsi="Times New Roman" w:cs="Times New Roman"/>
          <w:sz w:val="28"/>
          <w:szCs w:val="28"/>
          <w:lang w:eastAsia="uk-UA"/>
        </w:rPr>
        <w:t>реаерацію</w:t>
      </w:r>
      <w:proofErr w:type="spellEnd"/>
      <w:r w:rsidRPr="00FF7900">
        <w:rPr>
          <w:rFonts w:ascii="Times New Roman" w:eastAsia="Times New Roman" w:hAnsi="Times New Roman" w:cs="Times New Roman"/>
          <w:sz w:val="28"/>
          <w:szCs w:val="28"/>
          <w:lang w:eastAsia="uk-UA"/>
        </w:rPr>
        <w:t xml:space="preserve"> води?</w:t>
      </w:r>
    </w:p>
    <w:p w14:paraId="04DC4323"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У яких випадках може виникнути явище повної </w:t>
      </w:r>
      <w:proofErr w:type="spellStart"/>
      <w:r w:rsidRPr="00FF7900">
        <w:rPr>
          <w:rFonts w:ascii="Times New Roman" w:eastAsia="Times New Roman" w:hAnsi="Times New Roman" w:cs="Times New Roman"/>
          <w:sz w:val="28"/>
          <w:szCs w:val="28"/>
          <w:lang w:eastAsia="uk-UA"/>
        </w:rPr>
        <w:t>деоксигенації</w:t>
      </w:r>
      <w:proofErr w:type="spellEnd"/>
      <w:r w:rsidRPr="00FF7900">
        <w:rPr>
          <w:rFonts w:ascii="Times New Roman" w:eastAsia="Times New Roman" w:hAnsi="Times New Roman" w:cs="Times New Roman"/>
          <w:sz w:val="28"/>
          <w:szCs w:val="28"/>
          <w:lang w:eastAsia="uk-UA"/>
        </w:rPr>
        <w:t xml:space="preserve"> води в річці та які наслідки це може мати для водної екосистеми?</w:t>
      </w:r>
    </w:p>
    <w:p w14:paraId="11083C75"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Які обмеження має модель </w:t>
      </w:r>
      <w:proofErr w:type="spellStart"/>
      <w:r w:rsidRPr="00FF7900">
        <w:rPr>
          <w:rFonts w:ascii="Times New Roman" w:eastAsia="Times New Roman" w:hAnsi="Times New Roman" w:cs="Times New Roman"/>
          <w:sz w:val="28"/>
          <w:szCs w:val="28"/>
          <w:lang w:eastAsia="uk-UA"/>
        </w:rPr>
        <w:t>Стрітера-Фелпса</w:t>
      </w:r>
      <w:proofErr w:type="spellEnd"/>
      <w:r w:rsidRPr="00FF7900">
        <w:rPr>
          <w:rFonts w:ascii="Times New Roman" w:eastAsia="Times New Roman" w:hAnsi="Times New Roman" w:cs="Times New Roman"/>
          <w:sz w:val="28"/>
          <w:szCs w:val="28"/>
          <w:lang w:eastAsia="uk-UA"/>
        </w:rPr>
        <w:t xml:space="preserve"> та в яких випадках її застосування є некоректним?</w:t>
      </w:r>
    </w:p>
    <w:p w14:paraId="04040476" w14:textId="77777777" w:rsidR="00B17894" w:rsidRPr="00FF7900" w:rsidRDefault="00B17894" w:rsidP="00B17894">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Як можна використовувати результати моделювання за моделлю </w:t>
      </w:r>
      <w:proofErr w:type="spellStart"/>
      <w:r w:rsidRPr="00FF7900">
        <w:rPr>
          <w:rFonts w:ascii="Times New Roman" w:eastAsia="Times New Roman" w:hAnsi="Times New Roman" w:cs="Times New Roman"/>
          <w:sz w:val="28"/>
          <w:szCs w:val="28"/>
          <w:lang w:eastAsia="uk-UA"/>
        </w:rPr>
        <w:t>Стрітера-Фелпса</w:t>
      </w:r>
      <w:proofErr w:type="spellEnd"/>
      <w:r w:rsidRPr="00FF7900">
        <w:rPr>
          <w:rFonts w:ascii="Times New Roman" w:eastAsia="Times New Roman" w:hAnsi="Times New Roman" w:cs="Times New Roman"/>
          <w:sz w:val="28"/>
          <w:szCs w:val="28"/>
          <w:lang w:eastAsia="uk-UA"/>
        </w:rPr>
        <w:t xml:space="preserve"> для розробки заходів з охорони водних об'єктів?</w:t>
      </w:r>
    </w:p>
    <w:p w14:paraId="60AD705D" w14:textId="66987F7D" w:rsidR="00B17894" w:rsidRPr="00B17894" w:rsidRDefault="00B17894">
      <w:pPr>
        <w:rPr>
          <w:rFonts w:ascii="Times New Roman" w:eastAsia="Times New Roman" w:hAnsi="Times New Roman" w:cs="Times New Roman"/>
          <w:sz w:val="28"/>
          <w:szCs w:val="28"/>
          <w:lang w:eastAsia="uk-UA"/>
        </w:rPr>
      </w:pPr>
    </w:p>
    <w:sectPr w:rsidR="00B17894" w:rsidRPr="00B178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21BE5"/>
    <w:multiLevelType w:val="multilevel"/>
    <w:tmpl w:val="8CF6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8443FF"/>
    <w:multiLevelType w:val="multilevel"/>
    <w:tmpl w:val="BC244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80945">
    <w:abstractNumId w:val="0"/>
  </w:num>
  <w:num w:numId="2" w16cid:durableId="803738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894"/>
    <w:rsid w:val="00332054"/>
    <w:rsid w:val="00B17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A4EC0"/>
  <w15:chartTrackingRefBased/>
  <w15:docId w15:val="{BEDDAC6C-4B42-4833-8117-CB5FEC4C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7894"/>
    <w:pPr>
      <w:spacing w:after="200" w:line="276" w:lineRule="auto"/>
    </w:pPr>
    <w:rPr>
      <w:kern w:val="0"/>
      <w:sz w:val="22"/>
      <w:szCs w:val="22"/>
      <w:lang w:val="uk-UA"/>
      <w14:ligatures w14:val="none"/>
    </w:rPr>
  </w:style>
  <w:style w:type="paragraph" w:styleId="1">
    <w:name w:val="heading 1"/>
    <w:basedOn w:val="a"/>
    <w:next w:val="a"/>
    <w:link w:val="10"/>
    <w:uiPriority w:val="9"/>
    <w:qFormat/>
    <w:rsid w:val="00B17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17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1789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1789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1789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1789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1789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1789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1789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789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1789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1789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1789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1789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1789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17894"/>
    <w:rPr>
      <w:rFonts w:eastAsiaTheme="majorEastAsia" w:cstheme="majorBidi"/>
      <w:color w:val="595959" w:themeColor="text1" w:themeTint="A6"/>
    </w:rPr>
  </w:style>
  <w:style w:type="character" w:customStyle="1" w:styleId="80">
    <w:name w:val="Заголовок 8 Знак"/>
    <w:basedOn w:val="a0"/>
    <w:link w:val="8"/>
    <w:uiPriority w:val="9"/>
    <w:semiHidden/>
    <w:rsid w:val="00B1789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17894"/>
    <w:rPr>
      <w:rFonts w:eastAsiaTheme="majorEastAsia" w:cstheme="majorBidi"/>
      <w:color w:val="272727" w:themeColor="text1" w:themeTint="D8"/>
    </w:rPr>
  </w:style>
  <w:style w:type="paragraph" w:styleId="a3">
    <w:name w:val="Title"/>
    <w:basedOn w:val="a"/>
    <w:next w:val="a"/>
    <w:link w:val="a4"/>
    <w:uiPriority w:val="10"/>
    <w:qFormat/>
    <w:rsid w:val="00B17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178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789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1789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17894"/>
    <w:pPr>
      <w:spacing w:before="160"/>
      <w:jc w:val="center"/>
    </w:pPr>
    <w:rPr>
      <w:i/>
      <w:iCs/>
      <w:color w:val="404040" w:themeColor="text1" w:themeTint="BF"/>
    </w:rPr>
  </w:style>
  <w:style w:type="character" w:customStyle="1" w:styleId="a8">
    <w:name w:val="Цитата Знак"/>
    <w:basedOn w:val="a0"/>
    <w:link w:val="a7"/>
    <w:uiPriority w:val="29"/>
    <w:rsid w:val="00B17894"/>
    <w:rPr>
      <w:i/>
      <w:iCs/>
      <w:color w:val="404040" w:themeColor="text1" w:themeTint="BF"/>
    </w:rPr>
  </w:style>
  <w:style w:type="paragraph" w:styleId="a9">
    <w:name w:val="List Paragraph"/>
    <w:basedOn w:val="a"/>
    <w:uiPriority w:val="34"/>
    <w:qFormat/>
    <w:rsid w:val="00B17894"/>
    <w:pPr>
      <w:ind w:left="720"/>
      <w:contextualSpacing/>
    </w:pPr>
  </w:style>
  <w:style w:type="character" w:styleId="aa">
    <w:name w:val="Intense Emphasis"/>
    <w:basedOn w:val="a0"/>
    <w:uiPriority w:val="21"/>
    <w:qFormat/>
    <w:rsid w:val="00B17894"/>
    <w:rPr>
      <w:i/>
      <w:iCs/>
      <w:color w:val="0F4761" w:themeColor="accent1" w:themeShade="BF"/>
    </w:rPr>
  </w:style>
  <w:style w:type="paragraph" w:styleId="ab">
    <w:name w:val="Intense Quote"/>
    <w:basedOn w:val="a"/>
    <w:next w:val="a"/>
    <w:link w:val="ac"/>
    <w:uiPriority w:val="30"/>
    <w:qFormat/>
    <w:rsid w:val="00B17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17894"/>
    <w:rPr>
      <w:i/>
      <w:iCs/>
      <w:color w:val="0F4761" w:themeColor="accent1" w:themeShade="BF"/>
    </w:rPr>
  </w:style>
  <w:style w:type="character" w:styleId="ad">
    <w:name w:val="Intense Reference"/>
    <w:basedOn w:val="a0"/>
    <w:uiPriority w:val="32"/>
    <w:qFormat/>
    <w:rsid w:val="00B17894"/>
    <w:rPr>
      <w:b/>
      <w:bCs/>
      <w:smallCaps/>
      <w:color w:val="0F4761" w:themeColor="accent1" w:themeShade="BF"/>
      <w:spacing w:val="5"/>
    </w:rPr>
  </w:style>
  <w:style w:type="table" w:styleId="ae">
    <w:name w:val="Table Grid"/>
    <w:basedOn w:val="a1"/>
    <w:uiPriority w:val="59"/>
    <w:rsid w:val="00B17894"/>
    <w:pPr>
      <w:spacing w:after="0" w:line="240" w:lineRule="auto"/>
    </w:pPr>
    <w:rPr>
      <w:kern w:val="0"/>
      <w:sz w:val="22"/>
      <w:szCs w:val="22"/>
      <w:lang w:val="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2757</Characters>
  <Application>Microsoft Office Word</Application>
  <DocSecurity>0</DocSecurity>
  <Lines>22</Lines>
  <Paragraphs>6</Paragraphs>
  <ScaleCrop>false</ScaleCrop>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Руслана Валерко</dc:creator>
  <cp:keywords/>
  <dc:description/>
  <cp:lastModifiedBy>Руслана Валерко</cp:lastModifiedBy>
  <cp:revision>1</cp:revision>
  <dcterms:created xsi:type="dcterms:W3CDTF">2026-09-26T08:47:00Z</dcterms:created>
  <dcterms:modified xsi:type="dcterms:W3CDTF">2026-09-26T08:48:00Z</dcterms:modified>
</cp:coreProperties>
</file>