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139" w:rsidRPr="00F6575D" w:rsidRDefault="00C63D25">
      <w:pPr>
        <w:jc w:val="center"/>
        <w:rPr>
          <w:rFonts w:ascii="Times New Roman" w:hAnsi="Times New Roman" w:cs="Times New Roman"/>
          <w:b/>
          <w:sz w:val="32"/>
          <w:szCs w:val="32"/>
          <w:lang w:val="uk-UA"/>
        </w:rPr>
      </w:pPr>
      <w:r w:rsidRPr="00F6575D">
        <w:rPr>
          <w:rFonts w:ascii="Times New Roman" w:hAnsi="Times New Roman" w:cs="Times New Roman"/>
          <w:b/>
          <w:sz w:val="32"/>
          <w:szCs w:val="32"/>
          <w:lang w:val="uk-UA"/>
        </w:rPr>
        <w:t>Комплексне практичне індивідуальне завдання з дисципліни «Корпоративне управління та корпоративна культура»</w:t>
      </w:r>
    </w:p>
    <w:p w:rsidR="00BE1139" w:rsidRPr="00F6575D" w:rsidRDefault="00C63D25">
      <w:pPr>
        <w:ind w:firstLine="708"/>
        <w:jc w:val="both"/>
        <w:rPr>
          <w:rFonts w:ascii="Times New Roman" w:hAnsi="Times New Roman" w:cs="Times New Roman"/>
          <w:sz w:val="28"/>
          <w:szCs w:val="28"/>
          <w:lang w:val="uk-UA"/>
        </w:rPr>
      </w:pPr>
      <w:r w:rsidRPr="00F6575D">
        <w:rPr>
          <w:rFonts w:ascii="Times New Roman" w:hAnsi="Times New Roman" w:cs="Times New Roman"/>
          <w:sz w:val="28"/>
          <w:szCs w:val="28"/>
          <w:lang w:val="uk-UA"/>
        </w:rPr>
        <w:t>КПІЗ з дисципліни «Корпоративне управління та корпоративна культура» включає два завдання – одне теоретичне і одне практичне. Вибір варіанту теоретичного завдання до КПІЗ здійснюється, як правило, за порядковим номером прізвища у списку групи в журналі або ж обирається студентом самостійно за його науковими інтересами і не може повторюватись в рамках академічної групи.</w:t>
      </w:r>
    </w:p>
    <w:p w:rsidR="00BE1139" w:rsidRPr="00F6575D" w:rsidRDefault="00C63D25">
      <w:pPr>
        <w:ind w:firstLine="708"/>
        <w:jc w:val="center"/>
        <w:rPr>
          <w:rFonts w:ascii="Times New Roman" w:hAnsi="Times New Roman" w:cs="Times New Roman"/>
          <w:b/>
          <w:sz w:val="28"/>
          <w:szCs w:val="28"/>
          <w:lang w:val="uk-UA"/>
        </w:rPr>
      </w:pPr>
      <w:r w:rsidRPr="00F6575D">
        <w:rPr>
          <w:rFonts w:ascii="Times New Roman" w:hAnsi="Times New Roman" w:cs="Times New Roman"/>
          <w:b/>
          <w:sz w:val="28"/>
          <w:szCs w:val="28"/>
          <w:lang w:val="uk-UA"/>
        </w:rPr>
        <w:t>Теоретичні завдання до комплексного практичного індивідуального завдання (КПІЗ)</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Аналіз становища корпоративного управління в Україні.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Антикризове управління в корпораціях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Система корпоративного управління в Україні.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Акціонерне товариство в системі правових інституцій.</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Порядок створення та реєстрації </w:t>
      </w:r>
      <w:r w:rsidR="0065637B" w:rsidRPr="00323393">
        <w:rPr>
          <w:rFonts w:ascii="Times New Roman" w:hAnsi="Times New Roman" w:cs="Times New Roman"/>
          <w:sz w:val="28"/>
          <w:szCs w:val="28"/>
          <w:lang w:val="uk-UA"/>
        </w:rPr>
        <w:t>публічного</w:t>
      </w:r>
      <w:r w:rsidRPr="00323393">
        <w:rPr>
          <w:rFonts w:ascii="Times New Roman" w:hAnsi="Times New Roman" w:cs="Times New Roman"/>
          <w:sz w:val="28"/>
          <w:szCs w:val="28"/>
          <w:lang w:val="uk-UA"/>
        </w:rPr>
        <w:t xml:space="preserve"> акціонерного товариства.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Переваги і недоліки акціонерного товариства.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Нормативно-правове регулювання корпоративних відносин в Україні.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Корпоративна культура як чинник сучасного управління.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Формування дивідендної політики акціонерного товариства.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Роль держави у корпоративному секторі.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Основні тенденції розвитку корпоративного управління в Україні.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Типи та категорії цінних паперів акціонерного товариства.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Методи управління цінними паперами акціонерного товариства.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Формування принципів корпоративного управління.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Практика корпоративного управління в Україні.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Англо-американська модель корпоративного управління.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Західноєвропейська модель корпоративного управління.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Японська модель корпоративного управління.</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Перехідна модель корпоративного управління.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Історичні передумови виникнення акціонерних товариств.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Акціонерні товариства в Україні.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Міжнародні стандарти практики корпоративного управління.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Розподіл прибутків акціонерного товариства.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Світовий досвід державного регулювання корпоративного сектора.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Державне регулювання корпоративного сектора в Україні.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Порядок внесення змін і доповнень до статуту акціонерного товариства.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Випадки, коли здійснюється перереєстрація акціонерного товариства. </w:t>
      </w:r>
    </w:p>
    <w:p w:rsidR="00BE1139"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 xml:space="preserve">Структура органів управління акціонерного товариства. </w:t>
      </w:r>
    </w:p>
    <w:p w:rsidR="00323393" w:rsidRPr="00323393" w:rsidRDefault="00C63D25" w:rsidP="00323393">
      <w:pPr>
        <w:pStyle w:val="a5"/>
        <w:numPr>
          <w:ilvl w:val="0"/>
          <w:numId w:val="1"/>
        </w:numPr>
        <w:spacing w:after="0" w:line="240" w:lineRule="auto"/>
        <w:jc w:val="both"/>
        <w:rPr>
          <w:rFonts w:ascii="Times New Roman" w:hAnsi="Times New Roman" w:cs="Times New Roman"/>
          <w:sz w:val="28"/>
          <w:szCs w:val="28"/>
          <w:lang w:val="uk-UA"/>
        </w:rPr>
      </w:pPr>
      <w:r w:rsidRPr="00323393">
        <w:rPr>
          <w:rFonts w:ascii="Times New Roman" w:hAnsi="Times New Roman" w:cs="Times New Roman"/>
          <w:sz w:val="28"/>
          <w:szCs w:val="28"/>
          <w:lang w:val="uk-UA"/>
        </w:rPr>
        <w:t>Роль спостережної ради в контролі діяльності акціонерного товариств.</w:t>
      </w:r>
    </w:p>
    <w:p w:rsidR="00323393" w:rsidRPr="00323393" w:rsidRDefault="00323393" w:rsidP="00323393">
      <w:pPr>
        <w:pStyle w:val="a5"/>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23393">
        <w:rPr>
          <w:rFonts w:ascii="Times New Roman" w:hAnsi="Times New Roman" w:cs="Times New Roman"/>
          <w:sz w:val="28"/>
          <w:szCs w:val="28"/>
          <w:lang w:val="uk-UA"/>
        </w:rPr>
        <w:t>Фондовий ринок України</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Інфраструктура корпоративного середовища</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Позабіржові фондові ринки</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lastRenderedPageBreak/>
        <w:t>Інвестиційні фонди в Україні</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Функціонування інвестиційних компаній в Україні</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Довірчі товариства в Україні</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Прозорість та розкриття інформації в корпораціях</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Контроль за фінансово-господарською діяльністю корпорацій</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Корпоративна культура в корпораціях</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Міжнародні стандарти фінансової звітності корпорацій</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Дивідендна політика в акціонерних товариствах</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Формування дивідендної політики в підприємствах</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Інститути спільного інвестування</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Антикризове управління в корпораціях</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Оцінка ефективності механізмів корпоративного управління в підприємствах</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Напрями підвищення ефективності управління корпораціями</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Рейтинги корпоративного управління</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Тактичне і стратегічне управління корпораціями</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Особливості тактичного і стратегічного управління корпораціями</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Види та етапи розробки корпоративної стратегії</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Рейдерство та механізми захисту від ворожих поглинань в</w:t>
      </w:r>
    </w:p>
    <w:p w:rsidR="00323393" w:rsidRPr="00323393" w:rsidRDefault="00323393" w:rsidP="00323393">
      <w:pPr>
        <w:pStyle w:val="Standard"/>
        <w:widowControl/>
        <w:numPr>
          <w:ilvl w:val="0"/>
          <w:numId w:val="1"/>
        </w:numPr>
        <w:spacing w:line="240" w:lineRule="auto"/>
        <w:rPr>
          <w:sz w:val="28"/>
          <w:szCs w:val="28"/>
        </w:rPr>
      </w:pPr>
      <w:r w:rsidRPr="00323393">
        <w:rPr>
          <w:sz w:val="28"/>
          <w:szCs w:val="28"/>
          <w:lang w:eastAsia="en-US"/>
        </w:rPr>
        <w:t>корпораціях</w:t>
      </w:r>
    </w:p>
    <w:p w:rsidR="00323393" w:rsidRDefault="00323393" w:rsidP="00323393">
      <w:pPr>
        <w:pStyle w:val="Standard"/>
        <w:widowControl/>
        <w:numPr>
          <w:ilvl w:val="0"/>
          <w:numId w:val="1"/>
        </w:numPr>
        <w:spacing w:line="240" w:lineRule="auto"/>
        <w:rPr>
          <w:sz w:val="28"/>
          <w:szCs w:val="28"/>
        </w:rPr>
      </w:pPr>
      <w:r w:rsidRPr="00323393">
        <w:rPr>
          <w:sz w:val="28"/>
          <w:szCs w:val="28"/>
          <w:lang w:eastAsia="en-US"/>
        </w:rPr>
        <w:t>Оцінювання ефективності та якості корпоративного управління</w:t>
      </w:r>
    </w:p>
    <w:p w:rsidR="00323393" w:rsidRPr="00323393" w:rsidRDefault="00323393" w:rsidP="00323393">
      <w:pPr>
        <w:pStyle w:val="Standard"/>
        <w:widowControl/>
        <w:spacing w:line="240" w:lineRule="auto"/>
        <w:ind w:left="720" w:firstLine="0"/>
        <w:rPr>
          <w:sz w:val="28"/>
          <w:szCs w:val="28"/>
        </w:rPr>
      </w:pPr>
    </w:p>
    <w:p w:rsidR="00B236D0" w:rsidRPr="002430A5" w:rsidRDefault="00B236D0" w:rsidP="00B236D0">
      <w:pPr>
        <w:pStyle w:val="styletext"/>
        <w:shd w:val="clear" w:color="auto" w:fill="FFFFFF"/>
        <w:spacing w:before="0" w:after="0"/>
        <w:ind w:firstLine="340"/>
        <w:jc w:val="both"/>
        <w:rPr>
          <w:b/>
          <w:sz w:val="28"/>
          <w:szCs w:val="28"/>
          <w:lang w:val="uk-UA"/>
        </w:rPr>
      </w:pPr>
      <w:r w:rsidRPr="002430A5">
        <w:rPr>
          <w:b/>
          <w:color w:val="000000"/>
          <w:sz w:val="28"/>
          <w:szCs w:val="28"/>
          <w:lang w:val="uk-UA"/>
        </w:rPr>
        <w:t>Мета і завдання написання реферату:</w:t>
      </w:r>
    </w:p>
    <w:p w:rsidR="00B236D0" w:rsidRPr="002430A5" w:rsidRDefault="00B236D0" w:rsidP="00B236D0">
      <w:pPr>
        <w:pStyle w:val="styletext"/>
        <w:widowControl w:val="0"/>
        <w:shd w:val="clear" w:color="auto" w:fill="FFFFFF"/>
        <w:spacing w:before="0" w:after="0"/>
        <w:ind w:firstLine="340"/>
        <w:jc w:val="both"/>
        <w:rPr>
          <w:sz w:val="28"/>
          <w:szCs w:val="28"/>
          <w:lang w:val="uk-UA"/>
        </w:rPr>
      </w:pPr>
      <w:r w:rsidRPr="002430A5">
        <w:rPr>
          <w:color w:val="000000"/>
          <w:sz w:val="28"/>
          <w:szCs w:val="28"/>
          <w:lang w:val="uk-UA"/>
        </w:rPr>
        <w:t>Реферат є формою закріплення і контролю знань та навичок, набутих студентами в процесі вивчення дисципліни.</w:t>
      </w:r>
    </w:p>
    <w:p w:rsidR="00B236D0" w:rsidRPr="002430A5" w:rsidRDefault="00B236D0" w:rsidP="00B236D0">
      <w:pPr>
        <w:pStyle w:val="styletext"/>
        <w:widowControl w:val="0"/>
        <w:shd w:val="clear" w:color="auto" w:fill="FFFFFF"/>
        <w:spacing w:before="0" w:after="0"/>
        <w:ind w:firstLine="340"/>
        <w:jc w:val="both"/>
        <w:rPr>
          <w:sz w:val="28"/>
          <w:szCs w:val="28"/>
          <w:lang w:val="uk-UA"/>
        </w:rPr>
      </w:pPr>
      <w:r w:rsidRPr="002430A5">
        <w:rPr>
          <w:color w:val="000000"/>
          <w:sz w:val="28"/>
          <w:szCs w:val="28"/>
          <w:lang w:val="uk-UA"/>
        </w:rPr>
        <w:t>Метою написання реферату є підтвердження рівня опанування студентами основних положень з обраної тематики, демонстрація знання відповідної літератури, вміння аналізувати матеріал, робити узагальнення та самостійні висновки.</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Завданнями написання реферату є:</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 вивчення стану розробки обраної проблематики в літературі та публікаціях;</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 вивчення відповідних інформаційних та статистичних даних, що стосується теми реферату та їх аналітична обробка;</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 логічний, аргументований виклад матеріалу;</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 розробка та обґрунтування пропозицій щодо поліпшення роботи в тій чи іншій сфері діяльності, визначеній темою реферату.</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Тема обирається слухачем самостійно, виходячи із запропонованого переліку.</w:t>
      </w:r>
    </w:p>
    <w:p w:rsidR="00B236D0" w:rsidRPr="002430A5" w:rsidRDefault="00B236D0" w:rsidP="00B236D0">
      <w:pPr>
        <w:pStyle w:val="styletext"/>
        <w:shd w:val="clear" w:color="auto" w:fill="FFFFFF"/>
        <w:tabs>
          <w:tab w:val="left" w:pos="1560"/>
        </w:tabs>
        <w:spacing w:before="0" w:after="0"/>
        <w:ind w:firstLine="340"/>
        <w:rPr>
          <w:b/>
          <w:sz w:val="28"/>
          <w:szCs w:val="28"/>
          <w:lang w:val="uk-UA"/>
        </w:rPr>
      </w:pPr>
      <w:r w:rsidRPr="002430A5">
        <w:rPr>
          <w:b/>
          <w:iCs/>
          <w:color w:val="000000"/>
          <w:sz w:val="28"/>
          <w:szCs w:val="28"/>
          <w:lang w:val="uk-UA"/>
        </w:rPr>
        <w:t>Структура реферату:</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Матеріал розподіляється рівномірно у відповідності до плану реферату:</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 вступ (мають бути обґрунтовані  актуальність та практичне значення обраної теми реферату, визначені мета та завдання роботи);</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 xml:space="preserve">– основна частина (розкривається тема реферату шляхом висвітлення основних питань. При цьому необхідно зосередити увагу на аналізі </w:t>
      </w:r>
      <w:r w:rsidRPr="002430A5">
        <w:rPr>
          <w:color w:val="000000"/>
          <w:sz w:val="28"/>
          <w:szCs w:val="28"/>
          <w:lang w:val="uk-UA"/>
        </w:rPr>
        <w:lastRenderedPageBreak/>
        <w:t>поставлених питань в літературі з висновками щодо їх теоретичної та практичної значущості. З цією метою варто залучити практичний матеріал діяльності підрозділу, в якому працює слухач з зазначенням регіональної специфіки);</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 висновки (необхідно сформулювати: а) науково-теоретичні та практичні підсумки проведеного аналізу за проблематико</w:t>
      </w:r>
      <w:r>
        <w:rPr>
          <w:color w:val="000000"/>
          <w:sz w:val="28"/>
          <w:szCs w:val="28"/>
          <w:lang w:val="uk-UA"/>
        </w:rPr>
        <w:t>ю</w:t>
      </w:r>
      <w:r w:rsidRPr="002430A5">
        <w:rPr>
          <w:color w:val="000000"/>
          <w:sz w:val="28"/>
          <w:szCs w:val="28"/>
          <w:lang w:val="uk-UA"/>
        </w:rPr>
        <w:t xml:space="preserve"> реферату; б) теоретичні та практичні рекомендації, що випливають з проведеного аналізу. Вони мають логічно пов'язуватися із змістом викладеного матеріалу);</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 додатки* (такими можуть бути цільові документи, матеріали, що розкривають досвід роботи органів та підрозділів внутрішніх справ, методичні розробки, результати досліджень, анкети опитування, а також таблиці, статистичні дані, діаграми, на які слухач посилається в тексті реферату тощо. Застереження: не слід давати в додатках документи, законодавчі чи нормативні акти, які офіційно надруковані. Такі документи мають бути вказані в списку використаних джерел);</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 список літератури (містить використані джерела та публікації).</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*ці складові не є обов’язковими і подаються за бажанням студента.</w:t>
      </w:r>
    </w:p>
    <w:p w:rsidR="00B236D0" w:rsidRPr="002430A5" w:rsidRDefault="00B236D0" w:rsidP="00B236D0">
      <w:pPr>
        <w:pStyle w:val="styletext"/>
        <w:shd w:val="clear" w:color="auto" w:fill="FFFFFF"/>
        <w:spacing w:before="0" w:after="0"/>
        <w:ind w:firstLine="340"/>
        <w:jc w:val="both"/>
        <w:rPr>
          <w:b/>
          <w:sz w:val="28"/>
          <w:szCs w:val="28"/>
          <w:lang w:val="uk-UA"/>
        </w:rPr>
      </w:pPr>
      <w:r w:rsidRPr="002430A5">
        <w:rPr>
          <w:b/>
          <w:iCs/>
          <w:color w:val="000000"/>
          <w:sz w:val="28"/>
          <w:szCs w:val="28"/>
          <w:lang w:val="uk-UA"/>
        </w:rPr>
        <w:t>Вимоги до оформлення реферату:</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Стиль викладення матеріалу має бути науково-діловим.</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 xml:space="preserve">Обсяг реферативної роботи має складати – </w:t>
      </w:r>
      <w:r>
        <w:rPr>
          <w:color w:val="000000"/>
          <w:sz w:val="28"/>
          <w:szCs w:val="28"/>
          <w:lang w:val="uk-UA"/>
        </w:rPr>
        <w:t xml:space="preserve">10 </w:t>
      </w:r>
      <w:r w:rsidRPr="002430A5">
        <w:rPr>
          <w:color w:val="000000"/>
          <w:sz w:val="28"/>
          <w:szCs w:val="28"/>
          <w:lang w:val="uk-UA"/>
        </w:rPr>
        <w:t>сторінок. До загального обсягу роботи не входять додатки, глосарій, список використаних джерел, таблиці та рисунки, які повністю займають площу сторінки. Але всі сторінки зазначених елементів підлягають суцільній нумерації. Робота має бути акуратно написана від руки або надрукована з дотриманням стилістичних і граматичних норм. У тексті обов'язково повинні бути посилання на літературу та інші джерела, що використовувалися при підготовці реферату.</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Текст реферативної роботи викладається державною мовою на стандартних аркушах формату А-4 (210 х 297).</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Робота друкується шрифтом Times New Roman, 14 кеглем; вирівнювання – «За шириною»; міжрядковий інтервал «Полуторний» (1,5 Lines); абзацний відступ – п’ять знаків (1,25 см); верхнє і нижнє поле – 2 см., ліве – 3 см, праве – 1 см.  Абзацний відступ має бути однаковим у всьому тексті і дорівнювати п'яти знакам (1,25 см).</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Розділи та підрозділи мають містити заголовки, які належить точно відтворювати у змісті. Заголовки розділів, як правило, розміщують посередині рядка. Назви розділів друкують великими літерами без розділових знаків у кінці, без підкреслень. Заголовки розділів слід починати з належного відступу.</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Абзацний відступ має бути однаковим у всьому тексті і дорівнювати 1,25 см.</w:t>
      </w:r>
      <w:r>
        <w:rPr>
          <w:color w:val="000000"/>
          <w:sz w:val="28"/>
          <w:szCs w:val="28"/>
          <w:lang w:val="uk-UA"/>
        </w:rPr>
        <w:t xml:space="preserve"> </w:t>
      </w:r>
      <w:r w:rsidRPr="002430A5">
        <w:rPr>
          <w:color w:val="000000"/>
          <w:sz w:val="28"/>
          <w:szCs w:val="28"/>
          <w:lang w:val="uk-UA"/>
        </w:rPr>
        <w:t>Нумерація сторінок має бути наскрізною. Порядковий номер сторінки позначають арабською цифрою і проставляють у правому верхньому куті сторінки без крапки чи рисок. Титульний аркуш (додається) включається до загальної нумерації сторінок письмової роботи, але номер сторінки на титульному аркуші, як правило, не проставляють. Розділи слід нумерувати також арабськими цифрами.</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lastRenderedPageBreak/>
        <w:t>При використанні літературних джерел в тексті письмової роботи необхідно робити посилання на літературне джерело. У квадратних дужках вказується його порядковий номер у списку літератури та конкретна  сторінка, наприклад [3, с. 17].</w:t>
      </w:r>
    </w:p>
    <w:p w:rsidR="00B236D0" w:rsidRPr="002430A5" w:rsidRDefault="00B236D0" w:rsidP="00B236D0">
      <w:pPr>
        <w:pStyle w:val="styletext"/>
        <w:shd w:val="clear" w:color="auto" w:fill="FFFFFF"/>
        <w:spacing w:before="0" w:after="0"/>
        <w:ind w:firstLine="340"/>
        <w:jc w:val="both"/>
        <w:rPr>
          <w:color w:val="000000"/>
          <w:sz w:val="28"/>
          <w:szCs w:val="28"/>
          <w:lang w:val="uk-UA"/>
        </w:rPr>
      </w:pPr>
      <w:r w:rsidRPr="002430A5">
        <w:rPr>
          <w:color w:val="000000"/>
          <w:sz w:val="28"/>
          <w:szCs w:val="28"/>
          <w:lang w:val="uk-UA"/>
        </w:rPr>
        <w:t>Ілюстративний матеріал – рисунки, графіки, схеми тощо слід розміщувати безпосередньо після першого посилання на нього в тексті. Якщо графік, схема, таблиця не поміщається на сторінці, де є посилання, їх подають на наступній сторінці. На кожний ілюстративний матеріал мають бути посилання в тексті.</w:t>
      </w:r>
    </w:p>
    <w:p w:rsidR="00B236D0" w:rsidRPr="002430A5" w:rsidRDefault="00B236D0" w:rsidP="00B236D0">
      <w:pPr>
        <w:pStyle w:val="styletext"/>
        <w:shd w:val="clear" w:color="auto" w:fill="FFFFFF"/>
        <w:spacing w:before="0" w:after="0"/>
        <w:ind w:firstLine="340"/>
        <w:jc w:val="center"/>
        <w:rPr>
          <w:b/>
          <w:sz w:val="28"/>
          <w:szCs w:val="28"/>
          <w:lang w:val="uk-UA"/>
        </w:rPr>
      </w:pPr>
      <w:r w:rsidRPr="002430A5">
        <w:rPr>
          <w:b/>
          <w:iCs/>
          <w:color w:val="000000"/>
          <w:sz w:val="28"/>
          <w:szCs w:val="28"/>
          <w:lang w:val="uk-UA"/>
        </w:rPr>
        <w:t>Критерії оцінювання рефератів</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rStyle w:val="a4"/>
          <w:color w:val="000000"/>
          <w:sz w:val="28"/>
          <w:szCs w:val="28"/>
          <w:lang w:val="uk-UA"/>
        </w:rPr>
        <w:t>Кожний реферат оцінюється, виходячи з аналізу сукупності таких критеріїв:</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1. Актуальність теми.</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2. План реферату має системно розкривати обрану тему.</w:t>
      </w:r>
    </w:p>
    <w:p w:rsidR="00B236D0" w:rsidRPr="002430A5" w:rsidRDefault="00B236D0" w:rsidP="00B236D0">
      <w:pPr>
        <w:pStyle w:val="styletext"/>
        <w:shd w:val="clear" w:color="auto" w:fill="FFFFFF"/>
        <w:spacing w:before="0" w:after="0"/>
        <w:ind w:firstLine="340"/>
        <w:jc w:val="both"/>
        <w:rPr>
          <w:sz w:val="28"/>
          <w:szCs w:val="28"/>
          <w:lang w:val="uk-UA"/>
        </w:rPr>
      </w:pPr>
      <w:r w:rsidRPr="002430A5">
        <w:rPr>
          <w:color w:val="000000"/>
          <w:sz w:val="28"/>
          <w:szCs w:val="28"/>
          <w:lang w:val="uk-UA"/>
        </w:rPr>
        <w:t>3. Особистий внесок оцінюється із наявності власних аналітичних висновків та конкретних пропозицій за досліджуваною темою.</w:t>
      </w:r>
    </w:p>
    <w:p w:rsidR="00B236D0" w:rsidRDefault="00B236D0" w:rsidP="00323393">
      <w:pPr>
        <w:ind w:firstLine="340"/>
        <w:rPr>
          <w:rFonts w:ascii="Times New Roman" w:hAnsi="Times New Roman" w:cs="Times New Roman"/>
          <w:color w:val="000000"/>
          <w:sz w:val="28"/>
          <w:szCs w:val="28"/>
          <w:lang w:val="uk-UA"/>
        </w:rPr>
      </w:pPr>
      <w:r w:rsidRPr="002430A5">
        <w:rPr>
          <w:rFonts w:ascii="Times New Roman" w:hAnsi="Times New Roman" w:cs="Times New Roman"/>
          <w:color w:val="000000"/>
          <w:sz w:val="28"/>
          <w:szCs w:val="28"/>
          <w:lang w:val="uk-UA"/>
        </w:rPr>
        <w:t>4. Використані джерела, тобто наявність достатньої кількості сучасних нормативних і наукових джерел.</w:t>
      </w:r>
    </w:p>
    <w:p w:rsidR="008E7356" w:rsidRPr="00323393" w:rsidRDefault="008E7356" w:rsidP="00323393">
      <w:pPr>
        <w:ind w:firstLine="340"/>
        <w:rPr>
          <w:rFonts w:ascii="Times New Roman" w:hAnsi="Times New Roman" w:cs="Times New Roman"/>
          <w:color w:val="000000"/>
          <w:sz w:val="28"/>
          <w:szCs w:val="28"/>
          <w:lang w:val="uk-UA"/>
        </w:rPr>
      </w:pPr>
      <w:bookmarkStart w:id="0" w:name="_GoBack"/>
      <w:bookmarkEnd w:id="0"/>
    </w:p>
    <w:p w:rsidR="00BE1139" w:rsidRPr="00F6575D" w:rsidRDefault="00323393">
      <w:pPr>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ПРАКТИЧНЕ ЗАВДАННЯ</w:t>
      </w:r>
      <w:r w:rsidR="00C63D25" w:rsidRPr="00F6575D">
        <w:rPr>
          <w:rFonts w:ascii="Times New Roman" w:hAnsi="Times New Roman" w:cs="Times New Roman"/>
          <w:sz w:val="28"/>
          <w:szCs w:val="28"/>
          <w:lang w:val="uk-UA"/>
        </w:rPr>
        <w:t>: Виконується самостійно кожним студентом з метою опанування системою знань, умінь та практичних навичок в галузі корпоративного управління, ознайомлення студентів з досвідом побудови ефективної системи корпоративного управління, знати існуючий на цей час в Україні досвід роботи в даному напрямку, розуміння того, наскільки важлива ця проблема для залучення інвестицій на підприємства та охоплює усі основні теми дисципліни «Корпоративне управління</w:t>
      </w:r>
      <w:r w:rsidR="0065637B" w:rsidRPr="00F6575D">
        <w:rPr>
          <w:rFonts w:ascii="Times New Roman" w:hAnsi="Times New Roman" w:cs="Times New Roman"/>
          <w:sz w:val="28"/>
          <w:szCs w:val="28"/>
          <w:lang w:val="uk-UA"/>
        </w:rPr>
        <w:t xml:space="preserve"> та корпоративна культура</w:t>
      </w:r>
      <w:r w:rsidR="00C63D25" w:rsidRPr="00F6575D">
        <w:rPr>
          <w:rFonts w:ascii="Times New Roman" w:hAnsi="Times New Roman" w:cs="Times New Roman"/>
          <w:sz w:val="28"/>
          <w:szCs w:val="28"/>
          <w:lang w:val="uk-UA"/>
        </w:rPr>
        <w:t xml:space="preserve">». Виконання практичного завдання відбувається на протязі всього семестру за такими етапами: </w:t>
      </w:r>
    </w:p>
    <w:p w:rsidR="00BE1139" w:rsidRPr="00F6575D" w:rsidRDefault="008E7356">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C63D25" w:rsidRPr="00F6575D">
        <w:rPr>
          <w:rFonts w:ascii="Times New Roman" w:hAnsi="Times New Roman" w:cs="Times New Roman"/>
          <w:sz w:val="28"/>
          <w:szCs w:val="28"/>
          <w:lang w:val="uk-UA"/>
        </w:rPr>
        <w:t>. Проаналізувати ситуації передбачені умовами задач. Номера завдань, що необхідно зробити, обираються згідно з початковою букво</w:t>
      </w:r>
      <w:r>
        <w:rPr>
          <w:rFonts w:ascii="Times New Roman" w:hAnsi="Times New Roman" w:cs="Times New Roman"/>
          <w:sz w:val="28"/>
          <w:szCs w:val="28"/>
          <w:lang w:val="uk-UA"/>
        </w:rPr>
        <w:t xml:space="preserve">ю прізвища студента </w:t>
      </w:r>
    </w:p>
    <w:p w:rsidR="00BE1139" w:rsidRPr="00F6575D" w:rsidRDefault="00C63D25">
      <w:pPr>
        <w:ind w:firstLine="708"/>
        <w:jc w:val="center"/>
        <w:rPr>
          <w:rFonts w:ascii="Times New Roman" w:hAnsi="Times New Roman" w:cs="Times New Roman"/>
          <w:b/>
          <w:sz w:val="28"/>
          <w:szCs w:val="28"/>
          <w:lang w:val="uk-UA"/>
        </w:rPr>
      </w:pPr>
      <w:r w:rsidRPr="00F6575D">
        <w:rPr>
          <w:rFonts w:ascii="Times New Roman" w:hAnsi="Times New Roman" w:cs="Times New Roman"/>
          <w:b/>
          <w:sz w:val="28"/>
          <w:szCs w:val="28"/>
          <w:lang w:val="uk-UA"/>
        </w:rPr>
        <w:t>Варіанти задач:</w:t>
      </w:r>
    </w:p>
    <w:tbl>
      <w:tblPr>
        <w:tblStyle w:val="a3"/>
        <w:tblW w:w="0" w:type="auto"/>
        <w:tblLook w:val="04A0" w:firstRow="1" w:lastRow="0" w:firstColumn="1" w:lastColumn="0" w:noHBand="0" w:noVBand="1"/>
      </w:tblPr>
      <w:tblGrid>
        <w:gridCol w:w="4672"/>
        <w:gridCol w:w="4673"/>
      </w:tblGrid>
      <w:tr w:rsidR="00BE1139">
        <w:tc>
          <w:tcPr>
            <w:tcW w:w="4672" w:type="dxa"/>
          </w:tcPr>
          <w:p w:rsidR="00BE1139" w:rsidRPr="00AF67E9" w:rsidRDefault="00C63D25">
            <w:pPr>
              <w:spacing w:after="0" w:line="240" w:lineRule="auto"/>
              <w:jc w:val="center"/>
              <w:rPr>
                <w:rFonts w:ascii="Times New Roman" w:hAnsi="Times New Roman" w:cs="Times New Roman"/>
                <w:b/>
                <w:lang w:val="uk-UA"/>
              </w:rPr>
            </w:pPr>
            <w:r w:rsidRPr="00AF67E9">
              <w:rPr>
                <w:rFonts w:ascii="Times New Roman" w:hAnsi="Times New Roman" w:cs="Times New Roman"/>
                <w:b/>
                <w:lang w:val="uk-UA"/>
              </w:rPr>
              <w:t>Початкові букви прізвищ студентів</w:t>
            </w:r>
          </w:p>
        </w:tc>
        <w:tc>
          <w:tcPr>
            <w:tcW w:w="4673" w:type="dxa"/>
          </w:tcPr>
          <w:p w:rsidR="00BE1139" w:rsidRPr="00AF67E9" w:rsidRDefault="00C63D25">
            <w:pPr>
              <w:spacing w:after="0" w:line="240" w:lineRule="auto"/>
              <w:jc w:val="center"/>
              <w:rPr>
                <w:rFonts w:ascii="Times New Roman" w:hAnsi="Times New Roman" w:cs="Times New Roman"/>
                <w:b/>
                <w:lang w:val="uk-UA"/>
              </w:rPr>
            </w:pPr>
            <w:r w:rsidRPr="00AF67E9">
              <w:rPr>
                <w:rFonts w:ascii="Times New Roman" w:hAnsi="Times New Roman" w:cs="Times New Roman"/>
                <w:b/>
                <w:lang w:val="uk-UA"/>
              </w:rPr>
              <w:t>Номер задач</w:t>
            </w:r>
          </w:p>
        </w:tc>
      </w:tr>
      <w:tr w:rsidR="00BE1139">
        <w:tc>
          <w:tcPr>
            <w:tcW w:w="4672"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А, З, К</w:t>
            </w:r>
          </w:p>
        </w:tc>
        <w:tc>
          <w:tcPr>
            <w:tcW w:w="4673"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1, 11</w:t>
            </w:r>
          </w:p>
        </w:tc>
      </w:tr>
      <w:tr w:rsidR="00BE1139">
        <w:tc>
          <w:tcPr>
            <w:tcW w:w="4672"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В, У, Є</w:t>
            </w:r>
          </w:p>
        </w:tc>
        <w:tc>
          <w:tcPr>
            <w:tcW w:w="4673"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2, 12</w:t>
            </w:r>
          </w:p>
        </w:tc>
      </w:tr>
      <w:tr w:rsidR="00BE1139">
        <w:tc>
          <w:tcPr>
            <w:tcW w:w="4672"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М, І, П</w:t>
            </w:r>
          </w:p>
        </w:tc>
        <w:tc>
          <w:tcPr>
            <w:tcW w:w="4673"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3, 13</w:t>
            </w:r>
          </w:p>
        </w:tc>
      </w:tr>
      <w:tr w:rsidR="00BE1139">
        <w:tc>
          <w:tcPr>
            <w:tcW w:w="4672"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Е, Р, Щ</w:t>
            </w:r>
          </w:p>
        </w:tc>
        <w:tc>
          <w:tcPr>
            <w:tcW w:w="4673"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4, 14</w:t>
            </w:r>
          </w:p>
        </w:tc>
      </w:tr>
      <w:tr w:rsidR="00BE1139">
        <w:tc>
          <w:tcPr>
            <w:tcW w:w="4672"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Б, Ч, Ф</w:t>
            </w:r>
          </w:p>
        </w:tc>
        <w:tc>
          <w:tcPr>
            <w:tcW w:w="4673"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5, 15</w:t>
            </w:r>
          </w:p>
        </w:tc>
      </w:tr>
      <w:tr w:rsidR="00BE1139">
        <w:tc>
          <w:tcPr>
            <w:tcW w:w="4672"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Т, Д, О</w:t>
            </w:r>
          </w:p>
        </w:tc>
        <w:tc>
          <w:tcPr>
            <w:tcW w:w="4673"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6, 16</w:t>
            </w:r>
          </w:p>
        </w:tc>
      </w:tr>
      <w:tr w:rsidR="00BE1139">
        <w:tc>
          <w:tcPr>
            <w:tcW w:w="4672"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Л, Н, Ї</w:t>
            </w:r>
          </w:p>
        </w:tc>
        <w:tc>
          <w:tcPr>
            <w:tcW w:w="4673"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7, 17</w:t>
            </w:r>
          </w:p>
        </w:tc>
      </w:tr>
      <w:tr w:rsidR="00BE1139">
        <w:tc>
          <w:tcPr>
            <w:tcW w:w="4672"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Ж, Ю, Я</w:t>
            </w:r>
          </w:p>
        </w:tc>
        <w:tc>
          <w:tcPr>
            <w:tcW w:w="4673"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8, 18</w:t>
            </w:r>
          </w:p>
        </w:tc>
      </w:tr>
      <w:tr w:rsidR="00BE1139">
        <w:tc>
          <w:tcPr>
            <w:tcW w:w="4672"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Ш, Х</w:t>
            </w:r>
          </w:p>
        </w:tc>
        <w:tc>
          <w:tcPr>
            <w:tcW w:w="4673"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9, 19</w:t>
            </w:r>
          </w:p>
        </w:tc>
      </w:tr>
      <w:tr w:rsidR="00BE1139">
        <w:tc>
          <w:tcPr>
            <w:tcW w:w="4672"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С, Г, Ц</w:t>
            </w:r>
          </w:p>
        </w:tc>
        <w:tc>
          <w:tcPr>
            <w:tcW w:w="4673" w:type="dxa"/>
          </w:tcPr>
          <w:p w:rsidR="00BE1139" w:rsidRPr="00AF67E9" w:rsidRDefault="00C63D25">
            <w:pPr>
              <w:spacing w:after="0" w:line="240" w:lineRule="auto"/>
              <w:jc w:val="both"/>
              <w:rPr>
                <w:rFonts w:ascii="Times New Roman" w:hAnsi="Times New Roman" w:cs="Times New Roman"/>
                <w:lang w:val="uk-UA"/>
              </w:rPr>
            </w:pPr>
            <w:r w:rsidRPr="00AF67E9">
              <w:rPr>
                <w:rFonts w:ascii="Times New Roman" w:hAnsi="Times New Roman" w:cs="Times New Roman"/>
                <w:lang w:val="uk-UA"/>
              </w:rPr>
              <w:t>10, 20</w:t>
            </w:r>
          </w:p>
        </w:tc>
      </w:tr>
    </w:tbl>
    <w:p w:rsidR="00323393" w:rsidRDefault="00323393">
      <w:pPr>
        <w:ind w:firstLine="708"/>
        <w:rPr>
          <w:rFonts w:ascii="Times New Roman" w:hAnsi="Times New Roman" w:cs="Times New Roman"/>
          <w:b/>
          <w:sz w:val="24"/>
          <w:szCs w:val="24"/>
          <w:lang w:val="uk-UA"/>
        </w:rPr>
      </w:pPr>
    </w:p>
    <w:p w:rsidR="00BE1139" w:rsidRDefault="00C63D25">
      <w:pPr>
        <w:ind w:firstLine="708"/>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Завдання 1</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Проаналізувати динаміку кількості публічних та приватних акціонерних товариств в Україні за останні </w:t>
      </w:r>
      <w:r w:rsidR="0065637B">
        <w:rPr>
          <w:rFonts w:ascii="Times New Roman" w:hAnsi="Times New Roman" w:cs="Times New Roman"/>
          <w:sz w:val="24"/>
          <w:szCs w:val="24"/>
          <w:lang w:val="uk-UA"/>
        </w:rPr>
        <w:t>три роки</w:t>
      </w:r>
      <w:r>
        <w:rPr>
          <w:rFonts w:ascii="Times New Roman" w:hAnsi="Times New Roman" w:cs="Times New Roman"/>
          <w:sz w:val="24"/>
          <w:szCs w:val="24"/>
          <w:lang w:val="uk-UA"/>
        </w:rPr>
        <w:t xml:space="preserve"> (представити результати в таблиці). Виявити тенденцію зміни частки публічних акціонерних товариств (відобразити на круговій діаграмі). </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2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Побудувати таблицю «Порівняльна характеристика приватних акціонерних товариств та публічних акціонерних товариств» за аспектами: 1) система управління; 2) капітал; 3) засновники. </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3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Розкрити особливості системи інформації в акціонерному товаристві, з діяльністю якого Ви знайомі, а також її використання та зберігання. Провести аналіз системи інформаційних потоків між керівними органами, зацікавленими особами та виконавцями. Виявити ступінь відповідності порядку надання інформації в АТ чинному законодавству України. Яку корисну інформацію може отримати акціонер або інша особа, зацікавлена у діяльності акціонерного товариства, із оголошення про проведення чергових загальних зборів? Наведіть конкретні приклади.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b/>
          <w:sz w:val="24"/>
          <w:szCs w:val="24"/>
          <w:lang w:val="uk-UA"/>
        </w:rPr>
        <w:t>Завдання 4</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Оцінити ефективність корпоративного управління акціонерним товариством, з діяльністю якого Ви знайомі (надати коментарі щодо змін в управлінні, які відбувались протягом останніх двох років)</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5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Скласти схему підпорядкованості та взаємодії виборних органів акціонерного товариства з основними управлінськими та виробничими підрозділами акціонерного товариства. Відобразити практику регулювання конфліктів інтересів у акціонерному товаристві, з діяльністю якого Ви знайомі.</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6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Описати порядок оформлення трудових відносин з членами органів управління публічного акціонерного товариства та умови оплати праці посадових осіб (форми оформлення трудових відносин, види та форми оплати праці). </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7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Дослідити форми залучення та формування фінансових ресурсів АТ (цінні папери, умови їх використання, види). Скласти звіт ревізійної комісії перед черговими загальними зборами акціонерного товариства, з діяльністю якого Ви знайомі. </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8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Охарактеризувати механізм регулювання фондів в АТ, з діяльністю якого Ви знайомі, порядок їх створення та напрями використання (відобразити практичний механізм за останні 2 роки). </w:t>
      </w:r>
    </w:p>
    <w:p w:rsidR="00AF67E9" w:rsidRDefault="00AF67E9">
      <w:pPr>
        <w:ind w:firstLine="708"/>
        <w:jc w:val="both"/>
        <w:rPr>
          <w:rFonts w:ascii="Times New Roman" w:hAnsi="Times New Roman" w:cs="Times New Roman"/>
          <w:b/>
          <w:sz w:val="24"/>
          <w:szCs w:val="24"/>
          <w:lang w:val="uk-UA"/>
        </w:rPr>
      </w:pP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Завдання 9</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Проаналізувати в розрізі регіонів України темпи розвитку акціонерних товариств за останні </w:t>
      </w:r>
      <w:r w:rsidR="00984FC7">
        <w:rPr>
          <w:rFonts w:ascii="Times New Roman" w:hAnsi="Times New Roman" w:cs="Times New Roman"/>
          <w:sz w:val="24"/>
          <w:szCs w:val="24"/>
          <w:lang w:val="uk-UA"/>
        </w:rPr>
        <w:t>три роки</w:t>
      </w:r>
      <w:r>
        <w:rPr>
          <w:rFonts w:ascii="Times New Roman" w:hAnsi="Times New Roman" w:cs="Times New Roman"/>
          <w:sz w:val="24"/>
          <w:szCs w:val="24"/>
          <w:lang w:val="uk-UA"/>
        </w:rPr>
        <w:t xml:space="preserve">. Результати представити в таблиці. Скласти таблицю, в якій відобразити частку АТ за галузями економіки. </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Завдання 10</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Провести аналіз середовища господарського товариства, з діяльністю якого Ви знайомі. </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11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Побудувати організаційну структуру управління акціонерного товариства, з діяльністю якого Ви знайомі. Перелічити види робіт, що проводять групи працівників кожного структурного підрозділу. Провести аналіз відповідності підрозділів функціональним напрямкам діяльності даного товариства з обмеженою відповідальністю. Охарактеризувати на скільки ефективно працює дане товариство з обмеженою діяльністю.</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12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Проаналізувати наявність та використання локальних нормативних актів щодо діяльності приватних та публічних акціонерних товариств (всі розроблені положення). Систематизувати локальні (внутрішні) нормативні акти за рівнями управління. </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13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Скласти оголошення про проведення чергових зборів акціонерів, враховуючи необхідність перевиборів органів управління. Скласти кодекс поведінки АТ, з діяльністю якого Ви знайомі. </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14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Здійснити порівняльний аналіз прав акціонерів різних країн. Порівняльну характеристику за певними елементами оформити в таблиці.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b/>
          <w:sz w:val="24"/>
          <w:szCs w:val="24"/>
          <w:lang w:val="uk-UA"/>
        </w:rPr>
        <w:t>Завдання 15</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Проаналізувати три моделі (американську, німецьку, японську) корпоративних відносин. Порівняльну характеристику за певними елементами оформити в таблиці.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b/>
          <w:sz w:val="24"/>
          <w:szCs w:val="24"/>
          <w:lang w:val="uk-UA"/>
        </w:rPr>
        <w:t>Завдання 16</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Проаналізувати та надати оцінку досвіду корпоративного управління в </w:t>
      </w:r>
      <w:r w:rsidR="00984FC7">
        <w:rPr>
          <w:rFonts w:ascii="Times New Roman" w:hAnsi="Times New Roman" w:cs="Times New Roman"/>
          <w:sz w:val="24"/>
          <w:szCs w:val="24"/>
          <w:lang w:val="uk-UA"/>
        </w:rPr>
        <w:t>інших країнах (</w:t>
      </w:r>
      <w:r>
        <w:rPr>
          <w:rFonts w:ascii="Times New Roman" w:hAnsi="Times New Roman" w:cs="Times New Roman"/>
          <w:sz w:val="24"/>
          <w:szCs w:val="24"/>
          <w:lang w:val="uk-UA"/>
        </w:rPr>
        <w:t>Польща</w:t>
      </w:r>
      <w:r w:rsidR="00984FC7">
        <w:rPr>
          <w:rFonts w:ascii="Times New Roman" w:hAnsi="Times New Roman" w:cs="Times New Roman"/>
          <w:sz w:val="24"/>
          <w:szCs w:val="24"/>
          <w:lang w:val="uk-UA"/>
        </w:rPr>
        <w:t>, Франція, США</w:t>
      </w:r>
      <w:r>
        <w:rPr>
          <w:rFonts w:ascii="Times New Roman" w:hAnsi="Times New Roman" w:cs="Times New Roman"/>
          <w:sz w:val="24"/>
          <w:szCs w:val="24"/>
          <w:lang w:val="uk-UA"/>
        </w:rPr>
        <w:t xml:space="preserve">).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b/>
          <w:sz w:val="24"/>
          <w:szCs w:val="24"/>
          <w:lang w:val="uk-UA"/>
        </w:rPr>
        <w:t>Завдання 17</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Проаналізувати порядок роботи правління АТ: автономність роботи членів правління, взаємодія в інтересах єдиної стратегії товариства, підготовка та проведення засідань правління, відповідальність членів правління. Скласти схему законодавчого забезпечення фінансово-господарської діяльності АТ.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b/>
          <w:sz w:val="24"/>
          <w:szCs w:val="24"/>
          <w:lang w:val="uk-UA"/>
        </w:rPr>
        <w:t>Завдання 18</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Проаналізувати позитивні та негативні сторони організаційної структури акціонерного товариства, з діяльністю якого Ви знайомі та обґрунтувати доцільність її перебудови. Охарактеризувати нормативне регламентування взаємодії, повноважень та відповідальності. Розробити план впровадження нової організаційної структур.</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Завдання 19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Провести аналіз ключових учасників корпоративних відносин корпорації, з діяльністю якої Ви знайомі. </w:t>
      </w:r>
    </w:p>
    <w:p w:rsidR="00BE1139" w:rsidRDefault="00C63D25">
      <w:pPr>
        <w:ind w:firstLine="708"/>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Завдання 20 </w:t>
      </w:r>
    </w:p>
    <w:p w:rsidR="00BE1139" w:rsidRDefault="00C63D2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Підготуйте пропозиції зборам акціонерів щодо поліпшення фінансового стану господарського товариства, з діяльністю якого Ви знайомі.</w:t>
      </w:r>
    </w:p>
    <w:sectPr w:rsidR="00BE1139" w:rsidSect="00BE11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396" w:rsidRDefault="00970396">
      <w:pPr>
        <w:spacing w:line="240" w:lineRule="auto"/>
      </w:pPr>
      <w:r>
        <w:separator/>
      </w:r>
    </w:p>
  </w:endnote>
  <w:endnote w:type="continuationSeparator" w:id="0">
    <w:p w:rsidR="00970396" w:rsidRDefault="00970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396" w:rsidRDefault="00970396">
      <w:pPr>
        <w:spacing w:after="0"/>
      </w:pPr>
      <w:r>
        <w:separator/>
      </w:r>
    </w:p>
  </w:footnote>
  <w:footnote w:type="continuationSeparator" w:id="0">
    <w:p w:rsidR="00970396" w:rsidRDefault="0097039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C5597"/>
    <w:multiLevelType w:val="hybridMultilevel"/>
    <w:tmpl w:val="006C9954"/>
    <w:lvl w:ilvl="0" w:tplc="5D0609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5DC2A2C"/>
    <w:multiLevelType w:val="hybridMultilevel"/>
    <w:tmpl w:val="12A4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A"/>
    <w:rsid w:val="002A0E5C"/>
    <w:rsid w:val="00323393"/>
    <w:rsid w:val="00367349"/>
    <w:rsid w:val="00580CC9"/>
    <w:rsid w:val="0065637B"/>
    <w:rsid w:val="007A7F6B"/>
    <w:rsid w:val="008C4100"/>
    <w:rsid w:val="008C65AA"/>
    <w:rsid w:val="008E7356"/>
    <w:rsid w:val="00953BE9"/>
    <w:rsid w:val="00970396"/>
    <w:rsid w:val="00984FC7"/>
    <w:rsid w:val="009C5F08"/>
    <w:rsid w:val="00AF67E9"/>
    <w:rsid w:val="00B236D0"/>
    <w:rsid w:val="00BE1139"/>
    <w:rsid w:val="00C63D25"/>
    <w:rsid w:val="00F6575D"/>
    <w:rsid w:val="774A3C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81E00-F635-4B52-AD06-76815522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13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1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ext">
    <w:name w:val="style_text"/>
    <w:basedOn w:val="a"/>
    <w:rsid w:val="00F6575D"/>
    <w:pPr>
      <w:suppressAutoHyphens/>
      <w:autoSpaceDN w:val="0"/>
      <w:spacing w:before="100" w:after="100" w:line="240" w:lineRule="auto"/>
      <w:textAlignment w:val="baseline"/>
    </w:pPr>
    <w:rPr>
      <w:rFonts w:ascii="Times New Roman" w:eastAsia="Times New Roman" w:hAnsi="Times New Roman" w:cs="Times New Roman"/>
      <w:kern w:val="3"/>
      <w:sz w:val="24"/>
      <w:szCs w:val="24"/>
      <w:lang w:eastAsia="ru-RU"/>
    </w:rPr>
  </w:style>
  <w:style w:type="character" w:styleId="a4">
    <w:name w:val="Emphasis"/>
    <w:basedOn w:val="a0"/>
    <w:rsid w:val="00F6575D"/>
    <w:rPr>
      <w:i/>
      <w:iCs/>
    </w:rPr>
  </w:style>
  <w:style w:type="paragraph" w:customStyle="1" w:styleId="Standard">
    <w:name w:val="Standard"/>
    <w:rsid w:val="00323393"/>
    <w:pPr>
      <w:widowControl w:val="0"/>
      <w:suppressAutoHyphens/>
      <w:autoSpaceDN w:val="0"/>
      <w:spacing w:line="432" w:lineRule="auto"/>
      <w:ind w:firstLine="700"/>
      <w:jc w:val="both"/>
      <w:textAlignment w:val="baseline"/>
    </w:pPr>
    <w:rPr>
      <w:rFonts w:ascii="Times New Roman" w:eastAsia="Times New Roman" w:hAnsi="Times New Roman" w:cs="Times New Roman"/>
      <w:kern w:val="3"/>
      <w:sz w:val="22"/>
      <w:lang w:val="uk-UA"/>
    </w:rPr>
  </w:style>
  <w:style w:type="paragraph" w:styleId="a5">
    <w:name w:val="List Paragraph"/>
    <w:basedOn w:val="a"/>
    <w:uiPriority w:val="99"/>
    <w:rsid w:val="00323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7</Pages>
  <Words>2042</Words>
  <Characters>11642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Asus</cp:lastModifiedBy>
  <cp:revision>6</cp:revision>
  <dcterms:created xsi:type="dcterms:W3CDTF">2026-04-22T09:39:00Z</dcterms:created>
  <dcterms:modified xsi:type="dcterms:W3CDTF">2026-04-25T09:20:00Z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AE403A714F5C4A9D995E9CB20080E6E8_12</vt:lpwstr>
  </property>
</Properties>
</file>