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7B" w:rsidRPr="00CD19FA" w:rsidRDefault="000D4E49"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 xml:space="preserve">Державний </w:t>
      </w:r>
      <w:r w:rsidRPr="00CD19FA">
        <w:rPr>
          <w:rFonts w:ascii="Times New Roman" w:hAnsi="Times New Roman" w:cs="Times New Roman"/>
          <w:sz w:val="28"/>
          <w:szCs w:val="28"/>
        </w:rPr>
        <w:t>університет</w:t>
      </w:r>
      <w:r w:rsidRPr="00CD19FA">
        <w:rPr>
          <w:rFonts w:ascii="Times New Roman" w:hAnsi="Times New Roman" w:cs="Times New Roman"/>
          <w:sz w:val="28"/>
          <w:szCs w:val="28"/>
        </w:rPr>
        <w:t xml:space="preserve"> </w:t>
      </w:r>
      <w:r>
        <w:rPr>
          <w:rFonts w:ascii="Times New Roman" w:hAnsi="Times New Roman" w:cs="Times New Roman"/>
          <w:sz w:val="28"/>
          <w:szCs w:val="28"/>
          <w:lang w:val="ru-RU"/>
        </w:rPr>
        <w:t>“</w:t>
      </w:r>
      <w:r w:rsidRPr="00CD19FA">
        <w:rPr>
          <w:rFonts w:ascii="Times New Roman" w:hAnsi="Times New Roman" w:cs="Times New Roman"/>
          <w:sz w:val="28"/>
          <w:szCs w:val="28"/>
        </w:rPr>
        <w:t>Житомирська</w:t>
      </w:r>
      <w:r>
        <w:rPr>
          <w:rFonts w:ascii="Times New Roman" w:hAnsi="Times New Roman" w:cs="Times New Roman"/>
          <w:sz w:val="28"/>
          <w:szCs w:val="28"/>
          <w:lang w:val="ru-RU"/>
        </w:rPr>
        <w:t xml:space="preserve">а </w:t>
      </w:r>
      <w:proofErr w:type="spellStart"/>
      <w:r>
        <w:rPr>
          <w:rFonts w:ascii="Times New Roman" w:hAnsi="Times New Roman" w:cs="Times New Roman"/>
          <w:sz w:val="28"/>
          <w:szCs w:val="28"/>
          <w:lang w:val="ru-RU"/>
        </w:rPr>
        <w:t>політехніка</w:t>
      </w:r>
      <w:proofErr w:type="spellEnd"/>
      <w:r>
        <w:rPr>
          <w:rFonts w:ascii="Times New Roman" w:hAnsi="Times New Roman" w:cs="Times New Roman"/>
          <w:sz w:val="28"/>
          <w:szCs w:val="28"/>
          <w:lang w:val="ru-RU"/>
        </w:rPr>
        <w:t>”</w:t>
      </w:r>
      <w:r w:rsidR="00DA197B" w:rsidRPr="00CD19FA">
        <w:rPr>
          <w:rFonts w:ascii="Times New Roman" w:hAnsi="Times New Roman" w:cs="Times New Roman"/>
          <w:sz w:val="28"/>
          <w:szCs w:val="28"/>
        </w:rPr>
        <w:t xml:space="preserve"> </w:t>
      </w:r>
    </w:p>
    <w:p w:rsidR="00DA197B" w:rsidRPr="00CD19FA"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 xml:space="preserve">Факультет </w:t>
      </w:r>
      <w:r w:rsidR="000D4E49">
        <w:rPr>
          <w:rFonts w:ascii="Times New Roman" w:hAnsi="Times New Roman" w:cs="Times New Roman"/>
          <w:sz w:val="28"/>
          <w:szCs w:val="28"/>
        </w:rPr>
        <w:t>бізнесу та сфери обслуговування</w:t>
      </w:r>
    </w:p>
    <w:p w:rsidR="00DA197B" w:rsidRPr="00CD19FA"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Кафедра обліку і аудиту</w:t>
      </w:r>
    </w:p>
    <w:p w:rsidR="00DA197B" w:rsidRPr="00CD19FA"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Спеціальність: 071 «Об</w:t>
      </w:r>
      <w:bookmarkStart w:id="0" w:name="_GoBack"/>
      <w:bookmarkEnd w:id="0"/>
      <w:r w:rsidRPr="00CD19FA">
        <w:rPr>
          <w:rFonts w:ascii="Times New Roman" w:hAnsi="Times New Roman" w:cs="Times New Roman"/>
          <w:sz w:val="28"/>
          <w:szCs w:val="28"/>
        </w:rPr>
        <w:t>лік і оподаткування»</w:t>
      </w:r>
    </w:p>
    <w:p w:rsidR="00DA197B" w:rsidRPr="00DA197B"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Освітній рівень: «магістр»</w:t>
      </w:r>
    </w:p>
    <w:p w:rsidR="00DA197B" w:rsidRDefault="00DA197B" w:rsidP="00DA197B">
      <w:pPr>
        <w:spacing w:after="0" w:line="240" w:lineRule="auto"/>
        <w:jc w:val="center"/>
        <w:rPr>
          <w:rFonts w:ascii="Times New Roman" w:hAnsi="Times New Roman" w:cs="Times New Roman"/>
          <w:sz w:val="28"/>
          <w:szCs w:val="28"/>
        </w:rPr>
      </w:pPr>
    </w:p>
    <w:p w:rsidR="00DA197B" w:rsidRPr="00DA197B" w:rsidRDefault="00DA197B" w:rsidP="00DA197B">
      <w:pPr>
        <w:spacing w:after="0" w:line="240" w:lineRule="auto"/>
        <w:jc w:val="center"/>
        <w:rPr>
          <w:rFonts w:ascii="Times New Roman" w:hAnsi="Times New Roman" w:cs="Times New Roman"/>
          <w:b/>
          <w:sz w:val="28"/>
          <w:szCs w:val="28"/>
        </w:rPr>
      </w:pPr>
      <w:r w:rsidRPr="00DA197B">
        <w:rPr>
          <w:rFonts w:ascii="Times New Roman" w:hAnsi="Times New Roman" w:cs="Times New Roman"/>
          <w:b/>
          <w:sz w:val="28"/>
          <w:szCs w:val="28"/>
        </w:rPr>
        <w:t>Питання для підготовки до екзамену з предмету</w:t>
      </w:r>
    </w:p>
    <w:p w:rsidR="00DA197B" w:rsidRPr="00DA197B" w:rsidRDefault="00DA197B" w:rsidP="00DA197B">
      <w:pPr>
        <w:spacing w:after="0" w:line="240" w:lineRule="auto"/>
        <w:jc w:val="center"/>
        <w:rPr>
          <w:rFonts w:ascii="Times New Roman" w:hAnsi="Times New Roman" w:cs="Times New Roman"/>
          <w:b/>
          <w:sz w:val="28"/>
          <w:szCs w:val="28"/>
        </w:rPr>
      </w:pPr>
      <w:r w:rsidRPr="00DA197B">
        <w:rPr>
          <w:rFonts w:ascii="Times New Roman" w:hAnsi="Times New Roman" w:cs="Times New Roman"/>
          <w:b/>
          <w:sz w:val="28"/>
          <w:szCs w:val="28"/>
        </w:rPr>
        <w:t>ФІНАНСОВИЙ АНАЛІЗ</w:t>
      </w:r>
    </w:p>
    <w:p w:rsidR="00DA197B" w:rsidRDefault="00DA197B"/>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42"/>
        <w:gridCol w:w="8788"/>
      </w:tblGrid>
      <w:tr w:rsidR="00C63D50" w:rsidRPr="00097A86" w:rsidTr="00C63D50">
        <w:tc>
          <w:tcPr>
            <w:tcW w:w="9634" w:type="dxa"/>
            <w:gridSpan w:val="3"/>
            <w:hideMark/>
          </w:tcPr>
          <w:p w:rsidR="00C63D50" w:rsidRPr="00097A86" w:rsidRDefault="00C63D50" w:rsidP="00C63D50">
            <w:pPr>
              <w:jc w:val="center"/>
              <w:rPr>
                <w:rFonts w:ascii="Times New Roman" w:hAnsi="Times New Roman"/>
                <w:b/>
                <w:i/>
                <w:sz w:val="28"/>
                <w:szCs w:val="28"/>
              </w:rPr>
            </w:pPr>
            <w:r w:rsidRPr="00097A86">
              <w:rPr>
                <w:rFonts w:ascii="Times New Roman" w:hAnsi="Times New Roman"/>
                <w:b/>
                <w:i/>
                <w:sz w:val="28"/>
                <w:szCs w:val="28"/>
              </w:rPr>
              <w:t>Тема 1. Теоретичні основи фінансового аналізу</w:t>
            </w:r>
          </w:p>
        </w:tc>
      </w:tr>
      <w:tr w:rsidR="00C63D50" w:rsidRPr="00097A86" w:rsidTr="00C63D50">
        <w:tc>
          <w:tcPr>
            <w:tcW w:w="704" w:type="dxa"/>
            <w:hideMark/>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w:t>
            </w:r>
          </w:p>
        </w:tc>
        <w:tc>
          <w:tcPr>
            <w:tcW w:w="8930" w:type="dxa"/>
            <w:gridSpan w:val="2"/>
            <w:hideMark/>
          </w:tcPr>
          <w:p w:rsidR="00C63D50" w:rsidRPr="00097A86" w:rsidRDefault="00C63D50" w:rsidP="003929A8">
            <w:pPr>
              <w:jc w:val="both"/>
              <w:rPr>
                <w:rFonts w:ascii="Times New Roman" w:hAnsi="Times New Roman" w:cs="Times New Roman"/>
                <w:sz w:val="28"/>
                <w:szCs w:val="28"/>
              </w:rPr>
            </w:pPr>
            <w:r>
              <w:rPr>
                <w:rFonts w:ascii="Times New Roman" w:hAnsi="Times New Roman" w:cs="Times New Roman"/>
                <w:sz w:val="28"/>
                <w:szCs w:val="28"/>
              </w:rPr>
              <w:t>Фальсифікація звітності</w:t>
            </w:r>
            <w:r w:rsidR="00BC1792">
              <w:rPr>
                <w:rFonts w:ascii="Times New Roman" w:hAnsi="Times New Roman" w:cs="Times New Roman"/>
                <w:sz w:val="28"/>
                <w:szCs w:val="28"/>
              </w:rPr>
              <w:t xml:space="preserve"> - це</w:t>
            </w:r>
            <w:r>
              <w:rPr>
                <w:rFonts w:ascii="Times New Roman" w:hAnsi="Times New Roman" w:cs="Times New Roman"/>
                <w:sz w:val="28"/>
                <w:szCs w:val="28"/>
              </w:rPr>
              <w:t>:</w:t>
            </w:r>
          </w:p>
        </w:tc>
      </w:tr>
      <w:tr w:rsidR="00C63D50" w:rsidRPr="00097A86" w:rsidTr="00C63D50">
        <w:tc>
          <w:tcPr>
            <w:tcW w:w="704" w:type="dxa"/>
            <w:hideMark/>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w:t>
            </w:r>
          </w:p>
        </w:tc>
        <w:tc>
          <w:tcPr>
            <w:tcW w:w="8930" w:type="dxa"/>
            <w:gridSpan w:val="2"/>
            <w:hideMark/>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В процесі аналізу змін у складі і структурі балансу застосовують такі методи: </w:t>
            </w:r>
          </w:p>
        </w:tc>
      </w:tr>
      <w:tr w:rsidR="00C63D50" w:rsidRPr="00097A86" w:rsidTr="00C63D50">
        <w:tc>
          <w:tcPr>
            <w:tcW w:w="704" w:type="dxa"/>
            <w:hideMark/>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w:t>
            </w:r>
          </w:p>
        </w:tc>
        <w:tc>
          <w:tcPr>
            <w:tcW w:w="8930" w:type="dxa"/>
            <w:gridSpan w:val="2"/>
            <w:hideMark/>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Залежно від строків проведення фінансовий аналіз буває: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Залежно від </w:t>
            </w:r>
            <w:proofErr w:type="spellStart"/>
            <w:r w:rsidRPr="00097A86">
              <w:rPr>
                <w:rFonts w:ascii="Times New Roman" w:hAnsi="Times New Roman" w:cs="Times New Roman"/>
                <w:sz w:val="28"/>
                <w:szCs w:val="28"/>
              </w:rPr>
              <w:t>субʼєктів</w:t>
            </w:r>
            <w:proofErr w:type="spellEnd"/>
            <w:r w:rsidRPr="00097A86">
              <w:rPr>
                <w:rFonts w:ascii="Times New Roman" w:hAnsi="Times New Roman" w:cs="Times New Roman"/>
                <w:sz w:val="28"/>
                <w:szCs w:val="28"/>
              </w:rPr>
              <w:t xml:space="preserve"> проведення фінансовий аналіз буває: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До показників оцінки фінансового стану підприємства відносяться показники: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Викривлення, які впливають на зрозумілість фінансової інформації, але не змінюють розміри фінансового результату або власного капіталу підприємства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Розміщення господарських засобів в активі балансу здійснено відповідно їх: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Вертикальний аналіз балансу характеризується: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Горизонтальний аналіз балансу характеризується: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користувачів фінансового аналізу, які є опосередковано зацікавленими у його результатах, можна віднести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Аналіз економічного потенціалу підприємства включає: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За даними фінансової звітності сума чистого прибутку (збитку) визначається по: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Аналіз, що проводиться з метою виявлення причин фінансової кризи підприємства й можливих шляхів її усунення називається: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За який період характеризує збільшення власного капіталу чистий прибуток, а за який – нерозподілений прибуток: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Зовнішній фінансовий аналіз спрямований на:</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Особливостями зовнішнього фінансового аналізу є:</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Особливостями внутрішнього фінансового аналізу є:</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Внутрішній фінансовий аналіз спрямований на:</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Внутрішній фінансовий аналіз спрямований на:</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jc w:val="center"/>
              <w:rPr>
                <w:rFonts w:ascii="Times New Roman" w:hAnsi="Times New Roman"/>
                <w:b/>
                <w:i/>
                <w:sz w:val="28"/>
                <w:szCs w:val="28"/>
              </w:rPr>
            </w:pPr>
            <w:r w:rsidRPr="00097A86">
              <w:rPr>
                <w:rFonts w:ascii="Times New Roman" w:hAnsi="Times New Roman"/>
                <w:b/>
                <w:i/>
                <w:sz w:val="28"/>
                <w:szCs w:val="28"/>
              </w:rPr>
              <w:t>Тема 2. Загальна оцінка фінансового стану підприємства</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До “хворих” статей звітності відносять: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Яке з наведених тверджень не відноситься до ознак “нормального” балансу: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Загальна оцінка майнового стану господарюючого суб’єкта, обсягу і структури залучених ним засобів, його ліквідності та платоспроможності, виявлення основних тенденцій і змін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23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Якщо сума дебіторської заборгованості перевищує суму кредиторської заборгованості, то це свідчить про: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Вартість чистих активів підприємства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основних показників оцінки майнового стану належать: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26</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чистого доходу до вартості дебіторської заборгованості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Ознаками “нормального” балансу є: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Валовий прибуток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Збільшення питомої ваги виробничих запасів може свідчити про: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Зростання поточних зобов’язань можна вважати позитивними за умови якщо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Недоліками методики аналізу ліквідності балансу, яка передбачає групування активів і пасивів на чотири групи, є:</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rPr>
                <w:rFonts w:ascii="Times New Roman" w:hAnsi="Times New Roman"/>
                <w:b/>
                <w:i/>
                <w:sz w:val="28"/>
                <w:szCs w:val="28"/>
              </w:rPr>
            </w:pPr>
            <w:r w:rsidRPr="00097A86">
              <w:rPr>
                <w:rFonts w:ascii="Times New Roman" w:hAnsi="Times New Roman"/>
                <w:b/>
                <w:i/>
                <w:sz w:val="28"/>
                <w:szCs w:val="28"/>
              </w:rPr>
              <w:t>Тема 3. Аналіз майнового потенціалу</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32</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До активів із високим ступенем ризику належать: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33</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показує суму коштів, яку використало підприємство на формування основних засобів, щоб отримати 1 грн. обсягів виробництва: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34</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придатності основних засобів визначається: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35</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Різниця між власним капіталом та необоротними активами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36</w:t>
            </w:r>
          </w:p>
        </w:tc>
        <w:tc>
          <w:tcPr>
            <w:tcW w:w="8930" w:type="dxa"/>
            <w:gridSpan w:val="2"/>
          </w:tcPr>
          <w:p w:rsidR="00C63D50" w:rsidRPr="00097A86" w:rsidRDefault="00C63D50" w:rsidP="003929A8">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характеризує суму коштів, яку використало підприємство на формування основних засобів, щоб отримати 1 грн. обсягів виробництва: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Які з перерахованих оборотних активів відносяться до групи з мінімальним ступенем ризику: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зносу основних засобів розраховується як: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39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характеризує рівень приросту основних засобів або окремих його груп за певний період, розраховується як відношення: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Які активи відносяться до </w:t>
            </w:r>
            <w:proofErr w:type="spellStart"/>
            <w:r w:rsidRPr="00097A86">
              <w:rPr>
                <w:rFonts w:ascii="Times New Roman" w:hAnsi="Times New Roman" w:cs="Times New Roman"/>
                <w:sz w:val="28"/>
                <w:szCs w:val="28"/>
              </w:rPr>
              <w:t>малоризикових</w:t>
            </w:r>
            <w:proofErr w:type="spellEnd"/>
            <w:r w:rsidRPr="00097A86">
              <w:rPr>
                <w:rFonts w:ascii="Times New Roman" w:hAnsi="Times New Roman" w:cs="Times New Roman"/>
                <w:sz w:val="28"/>
                <w:szCs w:val="28"/>
              </w:rPr>
              <w:t xml:space="preserve">: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Що характеризує оцінка майнового потенціалу?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При використанні методу рівномірної амортизації значення коефіцієнта зносу є критичним, якщо воно: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Власний капітал за мінусом вартості необоротних активів це: </w:t>
            </w:r>
          </w:p>
        </w:tc>
      </w:tr>
      <w:tr w:rsidR="00C63D50" w:rsidRPr="00097A86" w:rsidTr="00C63D50">
        <w:tc>
          <w:tcPr>
            <w:tcW w:w="704" w:type="dxa"/>
            <w:hideMark/>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На що вказує наявність довгострокових фінансових вкладень в структурі активу балансу?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придатності основних засобів визначається: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Співвідношення вартості введених в експлуатацію основних засобів до вартості основних засобів на кінець року характеризує коефіцієнт: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характеризує обсяги виробництва, що отримує підприємство з 1 грн. коштів, вкладених в основні засоби: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залишкової вартості основних засобів до їх первісної вартості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49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Коефіцієнти оновлення, вибуття і приросту основних засобів розраховуються на основі: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Які існують ступені ризику в оцінці структури майна підприємства: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розраховується як відношення суми вартості машин, обладнання та транспортних засобів до загальної вартості основних засобів: </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rPr>
                <w:rFonts w:ascii="Times New Roman" w:hAnsi="Times New Roman"/>
                <w:b/>
                <w:i/>
                <w:sz w:val="28"/>
                <w:szCs w:val="28"/>
              </w:rPr>
            </w:pPr>
            <w:r w:rsidRPr="00097A86">
              <w:rPr>
                <w:rFonts w:ascii="Times New Roman" w:hAnsi="Times New Roman"/>
                <w:b/>
                <w:i/>
                <w:sz w:val="28"/>
                <w:szCs w:val="28"/>
              </w:rPr>
              <w:lastRenderedPageBreak/>
              <w:t>Тема 4. Аналіз платоспроможності та ліквідності підприємства.</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Суми грошових коштів підприємства на поточному рахунку, валютному та інших рахунках, у касі, короткострокові фінансові вкладення, які можуть бути використані для здійснення поточних розрахунків негайно,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Наявність у підприємства грошових коштів та їх еквівалентів достатніх для розрахунку за кредиторською заборгованістю, що вимагає негайного погашення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Негайну готовність підприємства погасити поточні зобов’язання характеризує коефіцієнт: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абсолютних показників ліквідності належить: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Платоспроможність підприємства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швидкої ліквідності розраховується за наступною формулою: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Активи підприємства за ліквідністю поділяються на: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59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суми поточних фінансових інвестицій та грошових коштів до поточних зобов’язань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найбільш термінових зобов’язань підприємства відносять: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Визначте з нижче перерахованих коефіцієнтів той, що показує, яка частина короткострокових зобов’язань підприємства може бути негайно погашена за рахунок коштів на різних рахунках, у цінних паперах, а також надходжень за розрахунками: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Ліквідність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Оцінка ліквідності та платоспроможності включає наступні показники: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якої групи активів залежно від ступеня ліквідності відноситься дебіторська заборгованість, платежі по якій очікуються протягом 12 місяців після звітної дати, та інші оборотні активи: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Платоспроможність підприємства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w:t>
            </w:r>
            <w:proofErr w:type="spellStart"/>
            <w:r w:rsidRPr="00097A86">
              <w:rPr>
                <w:rFonts w:ascii="Times New Roman" w:hAnsi="Times New Roman" w:cs="Times New Roman"/>
                <w:sz w:val="28"/>
                <w:szCs w:val="28"/>
              </w:rPr>
              <w:t>швидколіквідних</w:t>
            </w:r>
            <w:proofErr w:type="spellEnd"/>
            <w:r w:rsidRPr="00097A86">
              <w:rPr>
                <w:rFonts w:ascii="Times New Roman" w:hAnsi="Times New Roman" w:cs="Times New Roman"/>
                <w:sz w:val="28"/>
                <w:szCs w:val="28"/>
              </w:rPr>
              <w:t xml:space="preserve"> активів відносяться: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Активи, які передбачено використовувати більше одного року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постійних зобов’язань підприємства належать: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69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Рівень покриття зобов’язань підприємства його активами, строк перетворення яких на гроші відповідає строкам погашення зобов’язань,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70</w:t>
            </w:r>
          </w:p>
        </w:tc>
        <w:tc>
          <w:tcPr>
            <w:tcW w:w="8930" w:type="dxa"/>
            <w:gridSpan w:val="2"/>
          </w:tcPr>
          <w:p w:rsidR="00C63D50" w:rsidRPr="00097A86" w:rsidRDefault="00C63D50" w:rsidP="00C63D50">
            <w:pPr>
              <w:jc w:val="both"/>
              <w:rPr>
                <w:rFonts w:ascii="Times New Roman" w:hAnsi="Times New Roman" w:cs="Times New Roman"/>
                <w:sz w:val="28"/>
                <w:szCs w:val="28"/>
              </w:rPr>
            </w:pPr>
            <w:proofErr w:type="spellStart"/>
            <w:r w:rsidRPr="00097A86">
              <w:rPr>
                <w:rFonts w:ascii="Times New Roman" w:hAnsi="Times New Roman" w:cs="Times New Roman"/>
                <w:sz w:val="28"/>
                <w:szCs w:val="28"/>
              </w:rPr>
              <w:t>Повільноліквідні</w:t>
            </w:r>
            <w:proofErr w:type="spellEnd"/>
            <w:r w:rsidRPr="00097A86">
              <w:rPr>
                <w:rFonts w:ascii="Times New Roman" w:hAnsi="Times New Roman" w:cs="Times New Roman"/>
                <w:sz w:val="28"/>
                <w:szCs w:val="28"/>
              </w:rPr>
              <w:t xml:space="preserve"> активи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абсолютної ліквідності визначається за формулою: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Що включається до високоліквідних активів?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Запаси та інші оборотні активи, а також витрати майбутніх періодів за ступенем ліквідності відносяться до: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74</w:t>
            </w:r>
          </w:p>
        </w:tc>
        <w:tc>
          <w:tcPr>
            <w:tcW w:w="8930" w:type="dxa"/>
            <w:gridSpan w:val="2"/>
          </w:tcPr>
          <w:p w:rsidR="00C63D50"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якої групи активів в залежності від ступеня ліквідності відноситься дебіторська заборгованість, платежі по якій очікуються протягом 12 місяців після звітної дати, та інші оборотні активи: </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rPr>
                <w:rFonts w:ascii="Times New Roman" w:hAnsi="Times New Roman"/>
                <w:b/>
                <w:i/>
                <w:sz w:val="28"/>
                <w:szCs w:val="28"/>
              </w:rPr>
            </w:pPr>
            <w:r w:rsidRPr="00097A86">
              <w:rPr>
                <w:rFonts w:ascii="Times New Roman" w:hAnsi="Times New Roman"/>
                <w:b/>
                <w:i/>
                <w:sz w:val="28"/>
                <w:szCs w:val="28"/>
              </w:rPr>
              <w:t xml:space="preserve">Тема 5. Аналіз фінансової стійкості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резервного капіталу до валюти балансу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Надлишок власних оборотних засобів або рівність суми власних оборотних засобів і запасів спостерігається при:</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77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При якому фінансовому стані спостерігається високий рівень доходності та відсутність порушень платіжної дисципліни?</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Співвідношення власного та залученого капіталу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79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Стан, при якому сума власних оборотних засобів перевищує вартість запасів суб’єкта господарювання, має назву: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Якщо на підприємстві вартість запасів більша за загальні джерела їх формування, крім того, є кредити та позики, непогашені в строк, а також прострочена кредиторська і дебіторська заборгованість, то це свідчить про: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Характеристика стабільності фінансового стану підприємства, яка забезпечується високою часткою власного капіталу в загальній сумі використання фінансових засобів,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Для українських підприємств коефіцієнт автономії повинен бути (нормативне значення):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власного капіталу до валюти балансу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Якщо сума власних оборотних засобів перевищує вартість запасів суб’єкта господарювання, то підприємство має :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фінансової залежності визначається: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стійкості економічного зростання показує, яким темпами в середньому збільшується власний капітал за рахунок: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Високий рівень доходності та відсутність порушень фінансової дисципліни спостерігається: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Загальна оцінка фінансової стійкості передбачає визначення: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89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Чим характеризується абсолютна стійкість фінансового стану: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характеризує фінансову стійкість підприємства: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фінансової стійкості передбачає співвідношення показників: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Нормативне значення коефіцієнту фінансової стійкості: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Для характеристики джерел формування запасів застосовуються такі показники: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Який з перерахованих показників є оберненим до коефіцієнта автономії:</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Якщо вартість запасів менша за суму власного оборотного капіталу та кредитів банку, то можна стверджувати про: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Відношенням власного оборотного капіталу до вартості запасів і витрат визначається: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У чому полягає нестійкий фінансовий стан?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Система показників для оцінки фінансового стану підприємства складаються з трьох груп, до яких не входять показники: </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rPr>
                <w:rFonts w:ascii="Times New Roman" w:hAnsi="Times New Roman"/>
                <w:b/>
                <w:i/>
                <w:sz w:val="28"/>
                <w:szCs w:val="28"/>
              </w:rPr>
            </w:pPr>
            <w:r w:rsidRPr="00097A86">
              <w:rPr>
                <w:rFonts w:ascii="Times New Roman" w:hAnsi="Times New Roman"/>
                <w:b/>
                <w:i/>
                <w:sz w:val="28"/>
                <w:szCs w:val="28"/>
              </w:rPr>
              <w:t>Тема 6. Аналіз грошових потоків</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99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Сума прибутку (збитку), яка припадає на 1 грн. грошових коштів, що знаходяться у розпорядженні підприємства в середньому протягом періоду, що досліджується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Грошовий потік ─ це: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Чистий грошовий потік ─ це: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Чистий грошовий потік є найбільш якісним якщо: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Сума прибутку (збитку) на 1 грн. чистого грошового потоку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104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використовується для оцінки синхронності формування різних видів грошових коштів за окремими часовими інтервалами (квартал, місяць) протягом періоду, що аналізується (рік): </w:t>
            </w:r>
          </w:p>
          <w:p w:rsidR="00C63D50" w:rsidRPr="00097A86" w:rsidRDefault="00C63D50" w:rsidP="00C63D50">
            <w:pPr>
              <w:jc w:val="both"/>
              <w:rPr>
                <w:rFonts w:ascii="Times New Roman" w:hAnsi="Times New Roman" w:cs="Times New Roman"/>
                <w:sz w:val="28"/>
                <w:szCs w:val="28"/>
              </w:rPr>
            </w:pP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rPr>
                <w:rFonts w:ascii="Times New Roman" w:hAnsi="Times New Roman"/>
                <w:b/>
                <w:i/>
                <w:sz w:val="28"/>
                <w:szCs w:val="28"/>
              </w:rPr>
            </w:pPr>
            <w:r w:rsidRPr="00097A86">
              <w:rPr>
                <w:rFonts w:ascii="Times New Roman" w:hAnsi="Times New Roman"/>
                <w:b/>
                <w:i/>
                <w:sz w:val="28"/>
                <w:szCs w:val="28"/>
              </w:rPr>
              <w:t>Тема 7. Аналіз ділової активності підприємства</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розраховується як сума тривалості обороту засобів в розрахунках і тривалості обороту виробничих запасів, і характеризує період перетворення виробничих запасів на грошові кошти: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оборотності дебіторської заборгованості розраховується за формулою: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характеризується кількістю днів, протягом яких виробничі запаси проходять усі стадії одного кругообігу: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Тривалість операційного циклу за мінусом Тривалості погашення кредиторської заборгованості характеризує показник: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109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якісних показників ділової активності належать: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 якою формулою визначається фінансовий цикл?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вказує строк за який дебіторська заборгованість покупців перетворюється на грошові кошти: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показників оборотності матеріальних оборотних активів не відносять: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Сума чистого доходу, що припадає на 1 грн. оборотних активів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Прискорення оборотності оборотних засобів призводить до: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характеризує ефективність використання оборотних активів: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розраховується як відношення дебіторської заборгованості до чистого доходу за звітний період, поділеної на кількість календарних днів у періоді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що характеризує строк за який дебіторська заборгованість покупців перетворюється на грошові кошти: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“Золоте правило економіки” розраховується при аналізі: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119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Показник, який характеризує у скільки разів за період обертається капітал, вкладений в активи підприємства: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що показує якими темпами в середньому збільшується економічний потенціал підприємства, називається: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"Золоте правило економіки" відображає наступне співвідношення показників: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Нерівність Та &gt; 100 % у “золотому правилі економіки” означає:</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Нерівність </w:t>
            </w:r>
            <w:proofErr w:type="spellStart"/>
            <w:r w:rsidRPr="00097A86">
              <w:rPr>
                <w:rFonts w:ascii="Times New Roman" w:hAnsi="Times New Roman" w:cs="Times New Roman"/>
                <w:sz w:val="28"/>
                <w:szCs w:val="28"/>
              </w:rPr>
              <w:t>Тр</w:t>
            </w:r>
            <w:proofErr w:type="spellEnd"/>
            <w:r w:rsidRPr="00097A86">
              <w:rPr>
                <w:rFonts w:ascii="Times New Roman" w:hAnsi="Times New Roman" w:cs="Times New Roman"/>
                <w:sz w:val="28"/>
                <w:szCs w:val="28"/>
              </w:rPr>
              <w:t xml:space="preserve"> &gt; Та у “золотому правилі економіки” означає:</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Нерівність </w:t>
            </w:r>
            <w:proofErr w:type="spellStart"/>
            <w:r w:rsidRPr="00097A86">
              <w:rPr>
                <w:rFonts w:ascii="Times New Roman" w:hAnsi="Times New Roman" w:cs="Times New Roman"/>
                <w:sz w:val="28"/>
                <w:szCs w:val="28"/>
              </w:rPr>
              <w:t>Тп</w:t>
            </w:r>
            <w:proofErr w:type="spellEnd"/>
            <w:r w:rsidRPr="00097A86">
              <w:rPr>
                <w:rFonts w:ascii="Times New Roman" w:hAnsi="Times New Roman" w:cs="Times New Roman"/>
                <w:sz w:val="28"/>
                <w:szCs w:val="28"/>
              </w:rPr>
              <w:t xml:space="preserve"> &gt; </w:t>
            </w:r>
            <w:proofErr w:type="spellStart"/>
            <w:r w:rsidRPr="00097A86">
              <w:rPr>
                <w:rFonts w:ascii="Times New Roman" w:hAnsi="Times New Roman" w:cs="Times New Roman"/>
                <w:sz w:val="28"/>
                <w:szCs w:val="28"/>
              </w:rPr>
              <w:t>Тр</w:t>
            </w:r>
            <w:proofErr w:type="spellEnd"/>
            <w:r w:rsidRPr="00097A86">
              <w:rPr>
                <w:rFonts w:ascii="Times New Roman" w:hAnsi="Times New Roman" w:cs="Times New Roman"/>
                <w:sz w:val="28"/>
                <w:szCs w:val="28"/>
              </w:rPr>
              <w:t xml:space="preserve"> у “золотому правилі економіки” означає:</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Вартість оборотних активів на 1 грн. продажу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 визначається оборотність в днях?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допомогою якого коефіцієнта здійснюється аналіз ділової активності?</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Коефіцієнт оборотності кредиторської заборгованості визначається як: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129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 визначається тривалість одного обороту: </w:t>
            </w:r>
          </w:p>
          <w:p w:rsidR="00C63D50" w:rsidRPr="00097A86" w:rsidRDefault="00C63D50" w:rsidP="00C63D50">
            <w:pPr>
              <w:jc w:val="both"/>
              <w:rPr>
                <w:rFonts w:ascii="Times New Roman" w:hAnsi="Times New Roman" w:cs="Times New Roman"/>
                <w:sz w:val="28"/>
                <w:szCs w:val="28"/>
              </w:rPr>
            </w:pP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rPr>
                <w:rFonts w:ascii="Times New Roman" w:hAnsi="Times New Roman"/>
                <w:b/>
                <w:i/>
                <w:sz w:val="28"/>
                <w:szCs w:val="28"/>
              </w:rPr>
            </w:pPr>
            <w:r w:rsidRPr="00097A86">
              <w:rPr>
                <w:rFonts w:ascii="Times New Roman" w:hAnsi="Times New Roman"/>
                <w:b/>
                <w:i/>
                <w:sz w:val="28"/>
                <w:szCs w:val="28"/>
              </w:rPr>
              <w:t>Тема 8. Оцінювання фінансових результатів</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130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оборотних активів визначається відношенням: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Відносний показник, який відображає відношення отриманого прибутку до понесених витрат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яка показує скільки отримано прибутку від операційної діяльності з 1грн операційних витрат: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власного капіталу залежить від головних факторів: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підприємства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Який показник характеризує скільки отримано валового прибутку з 1 грн. понесених витрат на виробництво продукції: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Валова рентабельність продажу розраховується як: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активів залежить від головних факторів: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операційної діяльності розраховується як :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139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валового прибутку до собівартості продукції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Які бувають показники рентабельності?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Відношення фінансового результату від звичайної діяльності до витрат звичайної діяльності: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Методика маржинального аналізу фінансових результатів базується на розподілі витрат на: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доходних показників рентабельності відносять: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Ціна реалізації, структура та собівартість реалізації утворюють факторну модель: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продажу залежить від головних факторів: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Який взаємозв’язок між обсягами реалізації рентабельної продукції і сумою прибутку: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Який взаємозв’язок між обсягами реалізації нерентабельної продукції і сумою прибутку: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На зміну суми валового прибутку від реалізації продукції впливають фактори першого порядку: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149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Який показник показує скільки отримано валового прибутку з 1 грн. понесених витрат на виробництво продукції: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Який показник характеризує рівень чутливості валового прибутку до зміни обсягу виробництва (реалізації)?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151</w:t>
            </w:r>
          </w:p>
        </w:tc>
        <w:tc>
          <w:tcPr>
            <w:tcW w:w="8930" w:type="dxa"/>
            <w:gridSpan w:val="2"/>
          </w:tcPr>
          <w:p w:rsidR="00C63D50" w:rsidRPr="00097A86" w:rsidRDefault="00C63D50" w:rsidP="00C63D50">
            <w:pPr>
              <w:jc w:val="both"/>
              <w:rPr>
                <w:rFonts w:ascii="Times New Roman" w:hAnsi="Times New Roman" w:cs="Times New Roman"/>
                <w:sz w:val="28"/>
                <w:szCs w:val="28"/>
              </w:rPr>
            </w:pPr>
            <w:proofErr w:type="spellStart"/>
            <w:r w:rsidRPr="00097A86">
              <w:rPr>
                <w:rFonts w:ascii="Times New Roman" w:hAnsi="Times New Roman" w:cs="Times New Roman"/>
                <w:sz w:val="28"/>
                <w:szCs w:val="28"/>
                <w:lang w:val="ru-RU"/>
              </w:rPr>
              <w:t>Високий</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рівень</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якого</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показника</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свідчить</w:t>
            </w:r>
            <w:proofErr w:type="spellEnd"/>
            <w:r w:rsidRPr="00097A86">
              <w:rPr>
                <w:rFonts w:ascii="Times New Roman" w:hAnsi="Times New Roman" w:cs="Times New Roman"/>
                <w:sz w:val="28"/>
                <w:szCs w:val="28"/>
                <w:lang w:val="ru-RU"/>
              </w:rPr>
              <w:t xml:space="preserve"> про </w:t>
            </w:r>
            <w:proofErr w:type="spellStart"/>
            <w:r w:rsidRPr="00097A86">
              <w:rPr>
                <w:rFonts w:ascii="Times New Roman" w:hAnsi="Times New Roman" w:cs="Times New Roman"/>
                <w:sz w:val="28"/>
                <w:szCs w:val="28"/>
                <w:lang w:val="ru-RU"/>
              </w:rPr>
              <w:t>високий</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рівень</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виробничого</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ризику</w:t>
            </w:r>
            <w:proofErr w:type="spellEnd"/>
            <w:r w:rsidRPr="00097A86">
              <w:rPr>
                <w:rFonts w:ascii="Times New Roman" w:hAnsi="Times New Roman" w:cs="Times New Roman"/>
                <w:sz w:val="28"/>
                <w:szCs w:val="28"/>
                <w:lang w:val="ru-RU"/>
              </w:rPr>
              <w:t>?</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152</w:t>
            </w:r>
          </w:p>
        </w:tc>
        <w:tc>
          <w:tcPr>
            <w:tcW w:w="8930" w:type="dxa"/>
            <w:gridSpan w:val="2"/>
          </w:tcPr>
          <w:p w:rsidR="00C63D50" w:rsidRPr="00097A86" w:rsidRDefault="00C63D50" w:rsidP="00C63D50">
            <w:pPr>
              <w:jc w:val="both"/>
              <w:rPr>
                <w:rFonts w:ascii="Times New Roman" w:hAnsi="Times New Roman" w:cs="Times New Roman"/>
                <w:sz w:val="28"/>
                <w:szCs w:val="28"/>
                <w:lang w:val="ru-RU"/>
              </w:rPr>
            </w:pPr>
            <w:proofErr w:type="spellStart"/>
            <w:r w:rsidRPr="00097A86">
              <w:rPr>
                <w:rFonts w:ascii="Times New Roman" w:hAnsi="Times New Roman" w:cs="Times New Roman"/>
                <w:sz w:val="28"/>
                <w:szCs w:val="28"/>
                <w:lang w:val="ru-RU"/>
              </w:rPr>
              <w:t>Зростання</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рівня</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якого</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показника</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характеризує</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зростання</w:t>
            </w:r>
            <w:proofErr w:type="spellEnd"/>
            <w:r w:rsidRPr="00097A86">
              <w:rPr>
                <w:rFonts w:ascii="Times New Roman" w:hAnsi="Times New Roman" w:cs="Times New Roman"/>
                <w:sz w:val="28"/>
                <w:szCs w:val="28"/>
                <w:lang w:val="ru-RU"/>
              </w:rPr>
              <w:t xml:space="preserve"> </w:t>
            </w:r>
            <w:proofErr w:type="spellStart"/>
            <w:proofErr w:type="gramStart"/>
            <w:r w:rsidRPr="00097A86">
              <w:rPr>
                <w:rFonts w:ascii="Times New Roman" w:hAnsi="Times New Roman" w:cs="Times New Roman"/>
                <w:sz w:val="28"/>
                <w:szCs w:val="28"/>
                <w:lang w:val="ru-RU"/>
              </w:rPr>
              <w:t>фінансового</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ризику</w:t>
            </w:r>
            <w:proofErr w:type="spellEnd"/>
            <w:proofErr w:type="gramEnd"/>
            <w:r w:rsidRPr="00097A86">
              <w:rPr>
                <w:rFonts w:ascii="Times New Roman" w:hAnsi="Times New Roman" w:cs="Times New Roman"/>
                <w:sz w:val="28"/>
                <w:szCs w:val="28"/>
                <w:lang w:val="ru-RU"/>
              </w:rPr>
              <w:t>?</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153</w:t>
            </w:r>
          </w:p>
        </w:tc>
        <w:tc>
          <w:tcPr>
            <w:tcW w:w="8930" w:type="dxa"/>
            <w:gridSpan w:val="2"/>
          </w:tcPr>
          <w:p w:rsidR="00C63D50" w:rsidRDefault="00C63D50" w:rsidP="00C63D50">
            <w:pPr>
              <w:jc w:val="both"/>
              <w:rPr>
                <w:rFonts w:ascii="Times New Roman" w:hAnsi="Times New Roman" w:cs="Times New Roman"/>
                <w:sz w:val="28"/>
                <w:szCs w:val="28"/>
                <w:lang w:val="ru-RU"/>
              </w:rPr>
            </w:pPr>
            <w:r w:rsidRPr="00097A86">
              <w:rPr>
                <w:rFonts w:ascii="Times New Roman" w:hAnsi="Times New Roman" w:cs="Times New Roman"/>
                <w:sz w:val="28"/>
                <w:szCs w:val="28"/>
              </w:rPr>
              <w:t xml:space="preserve">Який показник </w:t>
            </w:r>
            <w:proofErr w:type="spellStart"/>
            <w:r w:rsidRPr="00097A86">
              <w:rPr>
                <w:rFonts w:ascii="Times New Roman" w:hAnsi="Times New Roman" w:cs="Times New Roman"/>
                <w:sz w:val="28"/>
                <w:szCs w:val="28"/>
                <w:lang w:val="ru-RU"/>
              </w:rPr>
              <w:t>дає</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змогу</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оптимізувати</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співвідношення</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між</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власними</w:t>
            </w:r>
            <w:proofErr w:type="spellEnd"/>
            <w:r w:rsidRPr="00097A86">
              <w:rPr>
                <w:rFonts w:ascii="Times New Roman" w:hAnsi="Times New Roman" w:cs="Times New Roman"/>
                <w:sz w:val="28"/>
                <w:szCs w:val="28"/>
                <w:lang w:val="ru-RU"/>
              </w:rPr>
              <w:t xml:space="preserve"> та </w:t>
            </w:r>
            <w:proofErr w:type="spellStart"/>
            <w:r w:rsidRPr="00097A86">
              <w:rPr>
                <w:rFonts w:ascii="Times New Roman" w:hAnsi="Times New Roman" w:cs="Times New Roman"/>
                <w:sz w:val="28"/>
                <w:szCs w:val="28"/>
                <w:lang w:val="ru-RU"/>
              </w:rPr>
              <w:t>залученими</w:t>
            </w:r>
            <w:proofErr w:type="spellEnd"/>
            <w:r w:rsidRPr="00097A86">
              <w:rPr>
                <w:rFonts w:ascii="Times New Roman" w:hAnsi="Times New Roman" w:cs="Times New Roman"/>
                <w:sz w:val="28"/>
                <w:szCs w:val="28"/>
                <w:lang w:val="ru-RU"/>
              </w:rPr>
              <w:t xml:space="preserve"> ресурсами та </w:t>
            </w:r>
            <w:proofErr w:type="spellStart"/>
            <w:r w:rsidRPr="00097A86">
              <w:rPr>
                <w:rFonts w:ascii="Times New Roman" w:hAnsi="Times New Roman" w:cs="Times New Roman"/>
                <w:sz w:val="28"/>
                <w:szCs w:val="28"/>
                <w:lang w:val="ru-RU"/>
              </w:rPr>
              <w:t>визначити</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їх</w:t>
            </w:r>
            <w:proofErr w:type="spellEnd"/>
            <w:r w:rsidRPr="00097A86">
              <w:rPr>
                <w:rFonts w:ascii="Times New Roman" w:hAnsi="Times New Roman" w:cs="Times New Roman"/>
                <w:sz w:val="28"/>
                <w:szCs w:val="28"/>
                <w:lang w:val="ru-RU"/>
              </w:rPr>
              <w:t xml:space="preserve"> </w:t>
            </w:r>
            <w:proofErr w:type="spellStart"/>
            <w:r w:rsidRPr="00097A86">
              <w:rPr>
                <w:rFonts w:ascii="Times New Roman" w:hAnsi="Times New Roman" w:cs="Times New Roman"/>
                <w:sz w:val="28"/>
                <w:szCs w:val="28"/>
                <w:lang w:val="ru-RU"/>
              </w:rPr>
              <w:t>вплив</w:t>
            </w:r>
            <w:proofErr w:type="spellEnd"/>
            <w:r w:rsidRPr="00097A86">
              <w:rPr>
                <w:rFonts w:ascii="Times New Roman" w:hAnsi="Times New Roman" w:cs="Times New Roman"/>
                <w:sz w:val="28"/>
                <w:szCs w:val="28"/>
                <w:lang w:val="ru-RU"/>
              </w:rPr>
              <w:t xml:space="preserve"> на </w:t>
            </w:r>
            <w:proofErr w:type="spellStart"/>
            <w:r w:rsidRPr="00097A86">
              <w:rPr>
                <w:rFonts w:ascii="Times New Roman" w:hAnsi="Times New Roman" w:cs="Times New Roman"/>
                <w:sz w:val="28"/>
                <w:szCs w:val="28"/>
                <w:lang w:val="ru-RU"/>
              </w:rPr>
              <w:t>прибуток</w:t>
            </w:r>
            <w:proofErr w:type="spellEnd"/>
            <w:r w:rsidRPr="00097A86">
              <w:rPr>
                <w:rFonts w:ascii="Times New Roman" w:hAnsi="Times New Roman" w:cs="Times New Roman"/>
                <w:sz w:val="28"/>
                <w:szCs w:val="28"/>
                <w:lang w:val="ru-RU"/>
              </w:rPr>
              <w:t>?</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jc w:val="center"/>
              <w:rPr>
                <w:rFonts w:ascii="Times New Roman" w:hAnsi="Times New Roman"/>
                <w:b/>
                <w:i/>
                <w:sz w:val="28"/>
                <w:szCs w:val="28"/>
              </w:rPr>
            </w:pPr>
            <w:r w:rsidRPr="00097A86">
              <w:rPr>
                <w:rFonts w:ascii="Times New Roman" w:hAnsi="Times New Roman"/>
                <w:b/>
                <w:i/>
                <w:sz w:val="28"/>
                <w:szCs w:val="28"/>
              </w:rPr>
              <w:t>Тема 9. Аналіз фінансового стану неплатоспроможних підприємств</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Що таке банкрутство?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До внутрішніх факторів, що впливають на неплатоспроможність, входять: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Поглиблений аналіз неплатоспроможності та банкрутства підприємства передбачає: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Критична неплатоспроможність – це такий фінансовий стан підприємства, при якому наявне: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158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Негативне значення суми довгострокових та поточних фінансових інвестицій, грошових коштів та їх еквівалентів, поточних зобов’язань спостерігається при наступній неплатоспроможності: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159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Стан майна і зобов’язань боржника, коли за рахунок власного майна він неспроможний забезпечити своєчасне виконання зобов’язань перед кредиторами у зв’язку з недостатнім рівнем ліквідності такого майна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При значенні Z-рахунку Альтмана на рівні 1,80 і менше, ймовірність банкрутства: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Неспроможність суб’єкта підприємницької діяльності виконати після настання встановленого строку їх сплати грошові зобов’язання перед кредиторами, у тому числі по заробітній платі, а також виконати зобов’язання щодо сплати податків і зборів через відновлення платоспроможності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Наявність збитків у підприємства та ознак критичної неплатоспроможності свідчать про: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Стан, при якому коефіцієнти покриття менше 1 та відсутній прибуток у підприємства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Для коефіцієнту втрати платоспроможності за період її втрати береться: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Для коефіцієнту відновлення платоспроможності за період її відновлення береться: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Прогноз банкрутства протягом найближчого року з точністю 95% можна отримати за допомогою: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Які види неплатоспроможності визначаються у Методичних рекомендацій щодо виявлення ознак неплатоспроможності підприємства та ознак дій приховування банкрутства, фіктивного банкрутства чи доведення до банкрутства: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Дуже висока імовірність банкрутства згідно Z-рахунку Альтмана буде при його значенні: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169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При значенні Z-рахунку на рівні 1,80 і менше, ймовірність банкрутства: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Дуже низька імовірність банкрутства згідно Z-рахунку Альтмана буде при його значенні: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Неплатоспроможність підприємства – це: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172</w:t>
            </w:r>
          </w:p>
        </w:tc>
        <w:tc>
          <w:tcPr>
            <w:tcW w:w="8930" w:type="dxa"/>
            <w:gridSpan w:val="2"/>
          </w:tcPr>
          <w:p w:rsidR="00C63D50"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Визначена господарським судом неспроможність боржника відновити свою платоспроможність і задовольнити визнані судом вимоги кредиторів через застосування ліквідаційної процедури – це: </w:t>
            </w:r>
          </w:p>
          <w:p w:rsidR="00C63D50" w:rsidRPr="00097A86" w:rsidRDefault="00C63D50" w:rsidP="00C63D50">
            <w:pPr>
              <w:jc w:val="both"/>
              <w:rPr>
                <w:rFonts w:ascii="Times New Roman" w:hAnsi="Times New Roman" w:cs="Times New Roman"/>
                <w:sz w:val="28"/>
                <w:szCs w:val="28"/>
              </w:rPr>
            </w:pPr>
          </w:p>
        </w:tc>
      </w:tr>
      <w:tr w:rsidR="00C63D50" w:rsidRPr="00097A86" w:rsidTr="00C63D50">
        <w:tc>
          <w:tcPr>
            <w:tcW w:w="9634" w:type="dxa"/>
            <w:gridSpan w:val="3"/>
            <w:hideMark/>
          </w:tcPr>
          <w:p w:rsidR="00C63D50" w:rsidRPr="00097A86" w:rsidRDefault="00C63D50" w:rsidP="00C63D50">
            <w:pPr>
              <w:jc w:val="center"/>
              <w:rPr>
                <w:rFonts w:ascii="Times New Roman" w:hAnsi="Times New Roman"/>
                <w:b/>
                <w:i/>
                <w:sz w:val="28"/>
                <w:szCs w:val="28"/>
              </w:rPr>
            </w:pPr>
            <w:r w:rsidRPr="00097A86">
              <w:rPr>
                <w:rFonts w:ascii="Times New Roman" w:hAnsi="Times New Roman"/>
                <w:b/>
                <w:i/>
                <w:sz w:val="28"/>
                <w:szCs w:val="28"/>
              </w:rPr>
              <w:t>Практичні вправи</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Яким буде фінансовий результат від операційної діяльності підприємства, виходячи з наступної інформації: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валовий прибуток – 28000 грн.;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доходи від операційної оренди активів – 6000 грн.;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адміністративні витрати – 12000 грн.;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витрати на збут – 7000 грн.;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інші операційні витрати – 4000 грн.: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Яким буде прибуток від звичайної діяльності, якщо: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прибуток від звичайної діяльності до оподаткування – 40000 грн.;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lastRenderedPageBreak/>
              <w:t xml:space="preserve">– прибуток від операційної діяльності – 60000 грн.; </w:t>
            </w:r>
          </w:p>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 податок на прибуток – 19 %: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175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Рентабельність продукції 23 % означає, що: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Як зміниться коефіцієнт абсолютної ліквідності у розмірі 0,4, якщо грошові кошти підприємства зростуть на 10 %, а обсяг поточних зобов’язань збільшиться на 40 %: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Як зміниться коефіцієнт зносу у розмірі 50 %, якщо знос основних засобів підприємства зросте на 10 %, а первісна вартість основних засобів збільшиться на 25 %: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Необхідно визначити коефіцієнт покриття, якщо відомі наступні дані про групи активів та пасивів підприємства, відповідно за їх ліквідністю та терміном погашення: А1 = 548,3 тис. грн.; А2 = 3856,1 тис. грн.; А3 = 17858,3 тис. грн.; А4 = 20038,0 тис. грн.; П1 = 7000,0 тис. грн.; П2 = 681,3 тис. грн.; П3 = 5000,0 тис. грн.; П4 = 29619,4 тис. грн.?</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179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Необхідно визначити коефіцієнт швидкої ліквідності, якщо відомі наступні дані про групи активів та пасивів підприємства, відповідно, за їх ліквідністю та терміном погашення: А1 = 548,3 тис. грн.; А2 = 3856,1 тис. грн.; А3 = 17858,3 тис. грн.; А4 = 20038,0 тис. грн.; П1 = 7000,0 тис. грн.; П2 = 681,3 тис. грн.; П3 = 5000,0 тис. грн.; П4 = 29619,4 тис. грн.:</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Необхідно визначити показник тривалості операційного циклу, якщо по підприємству на кінець року відомі наступні дані: середньорічна вартість активів становить 2984 тис. грн., середньорічна вартість оборотних активів – 1056 тис. грн., середньорічна вартість запасів – 486 тис. грн., середньорічна вартість дебіторської заборгованості – 318 тис. грн., середньорічна вартість кредиторської заборгованості – 562 тис. грн., обсяг реалізованої за рік продукції – 5560 тис. грн.:</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Необхідно визначити показник тривалості фінансового циклу, якщо по підприємству на кінець року відомі наступні дані: середньорічна вартість активів становить 2984 тис. грн., середньорічна вартість оборотних активів – 1056 тис. грн., середньорічна вартість запасів – 486 тис. грн., середньорічна вартість дебіторської заборгованості – 318 тис. грн., середньорічна вартість кредиторської заборгованості – 562 тис. грн., обсяг реалізованої за рік продукції – 5560 тис. грн.:</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Необхідно розрахувати показник маневреності робочого капіталу (частку матеріальних оборотних активів в робочому капіталі), якщо відомі наступні дані по підприємству: виробничі запаси – 7856 грн., МШП – 200 грн., незавершене виробництво – 5485,9 грн., готова продукція – 5600 грн., товари на складі – 500 грн., оборотні активи – 38546,9 грн., необоротні активи – 17000 грн., поточні зобов’язання – 9857,3 грн., власний капітал – 45689,6 грн., довгострокові зобов’язання – 3000 грн.:</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 даними фінансової звітності підприємства оцініть чи виконуються ознаки “нормального” балансу на кінець звітного періоду? </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оцініть які ознаки “хворого” балансу наявні у підприємства?</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частка основних засобів в загальній сумі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186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зносу основних засобів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покриття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абсолютної ліквідності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189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автономії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Коефіцієнт автономії рівний 33 % означає:</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фінансової стійкості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частка довгострокових зобов’язань у загальній сумі пасивів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оборотності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Коефіцієнт оборотності активів рівний 2,64 означає, 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період погашення дебіторської заборгованості (днів)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Період погашення дебіторської заборгованості 66 днів означає, 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Період погашення кредиторської заборгованості 48 днів означає, 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період обороту запасів (днів)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199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Коефіцієнт оборотності запасів рівний 15,2 означає, 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тривалість операційного циклу (днів)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Тривалість операційного циклу 95 днів показує, 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період обороту кредиторської заборгованості (днів)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Тривалість фінансового циклу 49 днів показує, що:</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тривалість фінансового циклу (днів)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рентабельність підприємства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рентабельність основної діяльності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рентабельність власного капіталу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рентабельність залученого капіталу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209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вартість активів з мінімальним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вартість активів з малим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вартість активів з середнім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вартість активів з високим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213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частка активів з мінімальним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частка активів з малим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частка активів з середнім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частка активів з високим ризиком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високоліквідних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 даними фінансової звітності підприємства сума </w:t>
            </w:r>
            <w:proofErr w:type="spellStart"/>
            <w:r w:rsidRPr="00097A86">
              <w:rPr>
                <w:rFonts w:ascii="Times New Roman" w:hAnsi="Times New Roman" w:cs="Times New Roman"/>
                <w:sz w:val="28"/>
                <w:szCs w:val="28"/>
              </w:rPr>
              <w:t>швидколіквідних</w:t>
            </w:r>
            <w:proofErr w:type="spellEnd"/>
            <w:r w:rsidRPr="00097A86">
              <w:rPr>
                <w:rFonts w:ascii="Times New Roman" w:hAnsi="Times New Roman" w:cs="Times New Roman"/>
                <w:sz w:val="28"/>
                <w:szCs w:val="28"/>
              </w:rPr>
              <w:t xml:space="preserve">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219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 даними фінансової звітності підприємства сума </w:t>
            </w:r>
            <w:proofErr w:type="spellStart"/>
            <w:r w:rsidRPr="00097A86">
              <w:rPr>
                <w:rFonts w:ascii="Times New Roman" w:hAnsi="Times New Roman" w:cs="Times New Roman"/>
                <w:sz w:val="28"/>
                <w:szCs w:val="28"/>
              </w:rPr>
              <w:t>повільноліквідних</w:t>
            </w:r>
            <w:proofErr w:type="spellEnd"/>
            <w:r w:rsidRPr="00097A86">
              <w:rPr>
                <w:rFonts w:ascii="Times New Roman" w:hAnsi="Times New Roman" w:cs="Times New Roman"/>
                <w:sz w:val="28"/>
                <w:szCs w:val="28"/>
              </w:rPr>
              <w:t xml:space="preserve">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 xml:space="preserve">За даними фінансової звітності підприємства сума </w:t>
            </w:r>
            <w:proofErr w:type="spellStart"/>
            <w:r w:rsidRPr="00097A86">
              <w:rPr>
                <w:rFonts w:ascii="Times New Roman" w:hAnsi="Times New Roman" w:cs="Times New Roman"/>
                <w:sz w:val="28"/>
                <w:szCs w:val="28"/>
              </w:rPr>
              <w:t>важколіквідних</w:t>
            </w:r>
            <w:proofErr w:type="spellEnd"/>
            <w:r w:rsidRPr="00097A86">
              <w:rPr>
                <w:rFonts w:ascii="Times New Roman" w:hAnsi="Times New Roman" w:cs="Times New Roman"/>
                <w:sz w:val="28"/>
                <w:szCs w:val="28"/>
              </w:rPr>
              <w:t xml:space="preserve">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найбільш термінових зобов’язань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короткострокових зобов’язань (П2)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довгострокових зобов’язань (П3)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постійних зобов’язань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платіжний надлишок/недостача по групі А1/П1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платіжний надлишок/недостача по групі А2/П2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платіжний надлишок/недостача по групі А3/П3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платіжний надлишок/недостача по групі А4/П4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229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баланс підприємства є неліквідним на кінець періоду через такі фактори:</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фінансова стійкість підприємства на початок періоду характеризувалася як:</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фінансова стійкість підприємства на кінець періоду характеризувалася як:</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автономії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фінансової залежності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фінансової стійкості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співвідношення залученого і власного капіталу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lastRenderedPageBreak/>
              <w:t>236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забезпечення власними оборотними засобами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страхування бізнесу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чистого грошового потоку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239</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позитивного грошового потоку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сума негативного грошового потоку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241</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рентабельність залишку грошових коштів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242</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рентабельність чистого грошового потоку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243</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оборотності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244</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оборотності оборотних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245</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оборотності запасів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246</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чистого коефіцієнт оборотності коштів у розрахунках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247</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чистого коефіцієнт оборотності кредиторської заборгованості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248</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підприємства коефіцієнт завантаженості активів на кінець періоду складатиме:</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249</w:t>
            </w:r>
          </w:p>
        </w:tc>
        <w:tc>
          <w:tcPr>
            <w:tcW w:w="8930" w:type="dxa"/>
            <w:gridSpan w:val="2"/>
          </w:tcPr>
          <w:p w:rsidR="00C63D50" w:rsidRPr="00097A86" w:rsidRDefault="00C63D50" w:rsidP="00C63D50">
            <w:pPr>
              <w:jc w:val="both"/>
              <w:rPr>
                <w:rFonts w:ascii="Times New Roman" w:hAnsi="Times New Roman" w:cs="Times New Roman"/>
                <w:sz w:val="28"/>
                <w:szCs w:val="28"/>
                <w:lang w:val="ru-RU"/>
              </w:rPr>
            </w:pPr>
            <w:r w:rsidRPr="00097A86">
              <w:rPr>
                <w:rFonts w:ascii="Times New Roman" w:hAnsi="Times New Roman" w:cs="Times New Roman"/>
                <w:sz w:val="28"/>
                <w:szCs w:val="28"/>
              </w:rPr>
              <w:t>За даними фінансової звітності на кінець періоду у підприємства спостерігався такий вид неплатоспроможності:</w:t>
            </w:r>
          </w:p>
        </w:tc>
      </w:tr>
      <w:tr w:rsidR="00C63D50" w:rsidRPr="00097A86" w:rsidTr="00C63D50">
        <w:tc>
          <w:tcPr>
            <w:tcW w:w="704" w:type="dxa"/>
          </w:tcPr>
          <w:p w:rsidR="00C63D50" w:rsidRPr="00097A86" w:rsidRDefault="00C63D50" w:rsidP="00C63D50">
            <w:pPr>
              <w:jc w:val="both"/>
              <w:rPr>
                <w:rFonts w:ascii="Times New Roman" w:hAnsi="Times New Roman"/>
                <w:sz w:val="28"/>
                <w:szCs w:val="28"/>
              </w:rPr>
            </w:pPr>
            <w:r w:rsidRPr="00097A86">
              <w:rPr>
                <w:rFonts w:ascii="Times New Roman" w:hAnsi="Times New Roman"/>
                <w:sz w:val="28"/>
                <w:szCs w:val="28"/>
              </w:rPr>
              <w:t>250</w:t>
            </w:r>
          </w:p>
        </w:tc>
        <w:tc>
          <w:tcPr>
            <w:tcW w:w="8930" w:type="dxa"/>
            <w:gridSpan w:val="2"/>
          </w:tcPr>
          <w:p w:rsidR="00C63D50" w:rsidRPr="00097A86" w:rsidRDefault="00C63D50" w:rsidP="00C63D50">
            <w:pPr>
              <w:jc w:val="both"/>
              <w:rPr>
                <w:rFonts w:ascii="Times New Roman" w:hAnsi="Times New Roman" w:cs="Times New Roman"/>
                <w:sz w:val="28"/>
                <w:szCs w:val="28"/>
              </w:rPr>
            </w:pPr>
            <w:r w:rsidRPr="00097A86">
              <w:rPr>
                <w:rFonts w:ascii="Times New Roman" w:hAnsi="Times New Roman" w:cs="Times New Roman"/>
                <w:sz w:val="28"/>
                <w:szCs w:val="28"/>
              </w:rPr>
              <w:t>За даними фінансової звітності на початок періоду у підприємства спостерігався такий вид неплатоспроможності:</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251</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Співвідношення вартості введених основних засобів до вартості основних засобів на кінець року характеризує коефіцієнт ______________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252</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Відношення власного капіталу до валюти балансу – це коефіцієнт 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253</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Відносний показник, який відображає відношення отриманого прибутку до понесених витрат – це _________________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254</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А. коефіцієнт, що показує яка частина поточних зобов’язань може бути погашена за рахунок грошових коштів та очікуваних фінансових надходжень від погашення дебіторської заборгованості</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255</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Коефіцієнт, що розраховується як відношення оборотних засобів і валюти балансу та показує їх питому вагу в майні підприємства</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256</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Співвідношення вартості основних засобів, що вибули, до вартості основних засобів на початок року характеризує коефіцієнт 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257</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Визначається як співвідношення усіх оборотних активів до поточних зобов’язань, характеризує достатність оборотних засобів для покриття поточних боргів</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lastRenderedPageBreak/>
              <w:t>258</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Відношення суми поточних фінансових інвестицій та грошових коштів до поточних зобов’язань –  це коефіцієнт_________________.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259</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 xml:space="preserve">Різниця між ____________ та поточними </w:t>
            </w:r>
            <w:proofErr w:type="spellStart"/>
            <w:r w:rsidRPr="00CD19FA">
              <w:rPr>
                <w:rFonts w:ascii="Times New Roman" w:hAnsi="Times New Roman" w:cs="Times New Roman"/>
                <w:sz w:val="28"/>
                <w:szCs w:val="28"/>
              </w:rPr>
              <w:t>зобовʼязаннями</w:t>
            </w:r>
            <w:proofErr w:type="spellEnd"/>
            <w:r w:rsidRPr="00CD19FA">
              <w:rPr>
                <w:rFonts w:ascii="Times New Roman" w:hAnsi="Times New Roman" w:cs="Times New Roman"/>
                <w:sz w:val="28"/>
                <w:szCs w:val="28"/>
              </w:rPr>
              <w:t xml:space="preserve"> – це робочий капітал.</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260</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При використанні методу рівномірної амортизації значення коефіцієнта зносу є критичним, якщо воно більше _________відсотків.</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261</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Різниця між оборотними активами та_____________ – це робочий капітал.</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262</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Відношення суми оборотних активів до поточних зобов’язань –  це коефіцієнт _______________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263</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______________– це неспроможність боржника відновити свою платоспроможність</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264</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Грошові кошти на рахунках у банку, у касі, короткострокові фінансові вкладення, які можуть бути використані для здійснення поточних розрахунків негайно, – це 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265</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Коефіцієнт _______________ визначається відношенням залишкової вартості основних засобів до балансової.</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266</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Коефіцієнт, що характеризується кількістю днів, протягом яких виробничі запаси проходять усі стадії одного кругообігу</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267</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Коефіцієнт ___________________- визначається відношенням зносу основних засобів до їх первісної вартості</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268</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Різниця між власним капіталом та необоротними активами – це _______________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269</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Різниця між власним капіталом та ________________– це вартість власних оборотних засобів</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270</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Комплексна характеристика, яка втілює різні аспекти діяльності підприємства, а тому визначається системою таких критеріїв, як показники швидкості обороту, рівень ефективності використання ресурсів підприємства, стійкість економічного зростання, ступінь виконання завдання за основними показниками господарської діяльності, місце підприємства на ринку, репутація підприємства як партнера, конкурентоспроможність тощо ─ це 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271</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Рентабельність — це відношення __________ до понесених витрат або використаних ресурсів.</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272</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Показник, який показує обсяги виробництва, що отримує підприємство з 1 грн. коштів, вкладених в основні засоби, називається 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273</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Відношення валового прибутку до собівартості продукції – це 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274</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 xml:space="preserve">Платоспроможність підприємства в часі з дотриманням умови фінансової рівноваги між власними та залученими джерелами </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275</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Здатність підприємства своєчасно задовольнити платіжні зобов’язання, тобто наявність у суб’єкта господарювання грошових засобів та їх еквівалентів, достатніх для розрахунків за поточними зобов’язаннями, що потребують негайного погашення</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276</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“Золоте правило економіки” розраховується при аналізі _______________.</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lastRenderedPageBreak/>
              <w:t>277</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Здатність підприємства перетворити свої активи в грошові кошти для покриття боргових зобов’язань</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278</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Коефіцієнт, що розраховується як відношення різниці між величиною власного капіталу і фактичною вартістю основних засобів та інших необоротних активів до фактичної вартості наявних у підприємства оборотних активів.</w:t>
            </w: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279</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 xml:space="preserve">Коефіцієнт, що визначається як відношення власного капіталу до залученого </w:t>
            </w:r>
          </w:p>
          <w:p w:rsidR="00207752" w:rsidRPr="00CD19FA" w:rsidRDefault="00207752" w:rsidP="00B73384">
            <w:pPr>
              <w:jc w:val="both"/>
              <w:rPr>
                <w:rFonts w:ascii="Times New Roman" w:hAnsi="Times New Roman" w:cs="Times New Roman"/>
                <w:sz w:val="28"/>
                <w:szCs w:val="28"/>
              </w:rPr>
            </w:pPr>
          </w:p>
        </w:tc>
      </w:tr>
      <w:tr w:rsidR="00207752" w:rsidRPr="00CD19FA" w:rsidTr="00207752">
        <w:tc>
          <w:tcPr>
            <w:tcW w:w="846" w:type="dxa"/>
            <w:gridSpan w:val="2"/>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280</w:t>
            </w:r>
          </w:p>
        </w:tc>
        <w:tc>
          <w:tcPr>
            <w:tcW w:w="8788" w:type="dxa"/>
          </w:tcPr>
          <w:p w:rsidR="00207752" w:rsidRPr="00CD19FA" w:rsidRDefault="00207752" w:rsidP="00B73384">
            <w:pPr>
              <w:jc w:val="both"/>
              <w:rPr>
                <w:rFonts w:ascii="Times New Roman" w:hAnsi="Times New Roman" w:cs="Times New Roman"/>
                <w:sz w:val="28"/>
                <w:szCs w:val="28"/>
              </w:rPr>
            </w:pPr>
            <w:r w:rsidRPr="00CD19FA">
              <w:rPr>
                <w:rFonts w:ascii="Times New Roman" w:hAnsi="Times New Roman" w:cs="Times New Roman"/>
                <w:sz w:val="28"/>
                <w:szCs w:val="28"/>
              </w:rPr>
              <w:t>Коефіцієнт, що розраховується як відношення вартості робочого капіталу до суми власного капіталу; характеризує ступінь мобільності використання власних коштів підприємством</w:t>
            </w:r>
          </w:p>
        </w:tc>
      </w:tr>
    </w:tbl>
    <w:p w:rsidR="00207752" w:rsidRDefault="00207752"/>
    <w:sectPr w:rsidR="002077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A89"/>
    <w:multiLevelType w:val="multilevel"/>
    <w:tmpl w:val="DDE2EA1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31BCE"/>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DD2B62"/>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E20E3"/>
    <w:multiLevelType w:val="hybridMultilevel"/>
    <w:tmpl w:val="BF220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191C90"/>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025181"/>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3E7E80"/>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0"/>
    <w:rsid w:val="000D4E49"/>
    <w:rsid w:val="00207752"/>
    <w:rsid w:val="003929A8"/>
    <w:rsid w:val="00657628"/>
    <w:rsid w:val="00AA4723"/>
    <w:rsid w:val="00AF2FF2"/>
    <w:rsid w:val="00BC1792"/>
    <w:rsid w:val="00C63D50"/>
    <w:rsid w:val="00C74C5A"/>
    <w:rsid w:val="00DA1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0A09-4DE8-4B28-998E-0D2BB2A0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Знак"/>
    <w:basedOn w:val="a0"/>
    <w:link w:val="20"/>
    <w:semiHidden/>
    <w:rsid w:val="00C63D50"/>
    <w:rPr>
      <w:rFonts w:ascii="Times New Roman" w:eastAsia="Times New Roman" w:hAnsi="Times New Roman" w:cs="Times New Roman"/>
      <w:sz w:val="24"/>
      <w:szCs w:val="24"/>
      <w:lang w:val="ru-RU" w:eastAsia="ru-RU"/>
    </w:rPr>
  </w:style>
  <w:style w:type="paragraph" w:styleId="20">
    <w:name w:val="Body Text 2"/>
    <w:basedOn w:val="a"/>
    <w:link w:val="2"/>
    <w:semiHidden/>
    <w:unhideWhenUsed/>
    <w:rsid w:val="00C63D50"/>
    <w:pPr>
      <w:spacing w:after="120" w:line="48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63D50"/>
    <w:pPr>
      <w:spacing w:after="200" w:line="276" w:lineRule="auto"/>
      <w:ind w:left="720"/>
      <w:contextualSpacing/>
    </w:pPr>
    <w:rPr>
      <w:rFonts w:ascii="Calibri" w:eastAsia="Times New Roman" w:hAnsi="Calibri" w:cs="Times New Roman"/>
      <w:lang w:val="ru-RU" w:eastAsia="ru-RU"/>
    </w:rPr>
  </w:style>
  <w:style w:type="table" w:customStyle="1" w:styleId="1">
    <w:name w:val="Сетка таблицы1"/>
    <w:basedOn w:val="a1"/>
    <w:next w:val="a3"/>
    <w:uiPriority w:val="59"/>
    <w:rsid w:val="00C6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19591</Words>
  <Characters>11168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Замула И В</cp:lastModifiedBy>
  <cp:revision>5</cp:revision>
  <dcterms:created xsi:type="dcterms:W3CDTF">2018-08-28T10:18:00Z</dcterms:created>
  <dcterms:modified xsi:type="dcterms:W3CDTF">2019-10-29T10:51:00Z</dcterms:modified>
</cp:coreProperties>
</file>