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C4" w:rsidRPr="004A032A" w:rsidRDefault="00033DC4" w:rsidP="00033DC4">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033DC4" w:rsidRDefault="00033DC4" w:rsidP="00033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033DC4" w:rsidRDefault="00033DC4" w:rsidP="00033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051 «Економіка»</w:t>
      </w:r>
    </w:p>
    <w:p w:rsidR="00033DC4" w:rsidRDefault="00033DC4" w:rsidP="00033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6B0068">
        <w:rPr>
          <w:rFonts w:ascii="Times New Roman" w:hAnsi="Times New Roman" w:cs="Times New Roman"/>
          <w:sz w:val="28"/>
          <w:szCs w:val="28"/>
        </w:rPr>
        <w:t>світн</w:t>
      </w:r>
      <w:r>
        <w:rPr>
          <w:rFonts w:ascii="Times New Roman" w:hAnsi="Times New Roman" w:cs="Times New Roman"/>
          <w:sz w:val="28"/>
          <w:szCs w:val="28"/>
        </w:rPr>
        <w:t>ього</w:t>
      </w:r>
      <w:r w:rsidRPr="006B0068">
        <w:rPr>
          <w:rFonts w:ascii="Times New Roman" w:hAnsi="Times New Roman" w:cs="Times New Roman"/>
          <w:sz w:val="28"/>
          <w:szCs w:val="28"/>
        </w:rPr>
        <w:t xml:space="preserve"> </w:t>
      </w:r>
      <w:r>
        <w:rPr>
          <w:rFonts w:ascii="Times New Roman" w:hAnsi="Times New Roman" w:cs="Times New Roman"/>
          <w:sz w:val="28"/>
          <w:szCs w:val="28"/>
        </w:rPr>
        <w:t>ступеня</w:t>
      </w:r>
      <w:r w:rsidRPr="006B0068">
        <w:rPr>
          <w:rFonts w:ascii="Times New Roman" w:hAnsi="Times New Roman" w:cs="Times New Roman"/>
          <w:sz w:val="28"/>
          <w:szCs w:val="28"/>
        </w:rPr>
        <w:t>: «</w:t>
      </w:r>
      <w:r>
        <w:rPr>
          <w:rFonts w:ascii="Times New Roman" w:hAnsi="Times New Roman" w:cs="Times New Roman"/>
          <w:sz w:val="28"/>
          <w:szCs w:val="28"/>
        </w:rPr>
        <w:t>бакалавр</w:t>
      </w:r>
      <w:r w:rsidRPr="006B0068">
        <w:rPr>
          <w:rFonts w:ascii="Times New Roman" w:hAnsi="Times New Roman" w:cs="Times New Roman"/>
          <w:sz w:val="28"/>
          <w:szCs w:val="28"/>
        </w:rPr>
        <w:t>»</w:t>
      </w:r>
    </w:p>
    <w:p w:rsidR="00033DC4" w:rsidRPr="006B0068" w:rsidRDefault="00033DC4" w:rsidP="00033DC4">
      <w:pPr>
        <w:spacing w:after="0" w:line="240" w:lineRule="auto"/>
        <w:jc w:val="center"/>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7"/>
        <w:gridCol w:w="8921"/>
      </w:tblGrid>
      <w:tr w:rsidR="009576F1" w:rsidRPr="00DE70D1" w:rsidTr="009576F1">
        <w:tc>
          <w:tcPr>
            <w:tcW w:w="367" w:type="pct"/>
            <w:vAlign w:val="center"/>
          </w:tcPr>
          <w:p w:rsidR="009576F1" w:rsidRPr="00DE70D1" w:rsidRDefault="009576F1" w:rsidP="00F938A8">
            <w:pPr>
              <w:jc w:val="center"/>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w:t>
            </w:r>
          </w:p>
          <w:p w:rsidR="009576F1" w:rsidRPr="00DE70D1" w:rsidRDefault="009576F1" w:rsidP="00F938A8">
            <w:pPr>
              <w:jc w:val="center"/>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з/п</w:t>
            </w:r>
          </w:p>
        </w:tc>
        <w:tc>
          <w:tcPr>
            <w:tcW w:w="4633" w:type="pct"/>
            <w:vAlign w:val="center"/>
          </w:tcPr>
          <w:p w:rsidR="009576F1" w:rsidRPr="00DE70D1" w:rsidRDefault="00873EAC" w:rsidP="00F938A8">
            <w:pPr>
              <w:jc w:val="center"/>
              <w:rPr>
                <w:rFonts w:ascii="Times New Roman" w:hAnsi="Times New Roman" w:cs="Times New Roman"/>
                <w:color w:val="000000" w:themeColor="text1"/>
                <w:sz w:val="28"/>
                <w:szCs w:val="28"/>
              </w:rPr>
            </w:pPr>
            <w:r>
              <w:rPr>
                <w:rFonts w:ascii="Times New Roman" w:hAnsi="Times New Roman" w:cs="Times New Roman"/>
                <w:sz w:val="28"/>
                <w:szCs w:val="28"/>
              </w:rPr>
              <w:t>Зміст питання</w:t>
            </w:r>
            <w:bookmarkStart w:id="0" w:name="_GoBack"/>
            <w:bookmarkEnd w:id="0"/>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Функції підприємства, які передбачають управління процесами виробництва і збуту товарів, укладання контрактів з постачальниками і споживачами, най</w:t>
            </w:r>
            <w:r>
              <w:rPr>
                <w:rFonts w:ascii="Times New Roman" w:hAnsi="Times New Roman" w:cs="Times New Roman"/>
                <w:color w:val="000000" w:themeColor="text1"/>
                <w:sz w:val="28"/>
                <w:szCs w:val="28"/>
              </w:rPr>
              <w:t>м</w:t>
            </w:r>
            <w:r w:rsidRPr="00DE70D1">
              <w:rPr>
                <w:rFonts w:ascii="Times New Roman" w:hAnsi="Times New Roman" w:cs="Times New Roman"/>
                <w:color w:val="000000" w:themeColor="text1"/>
                <w:sz w:val="28"/>
                <w:szCs w:val="28"/>
              </w:rPr>
              <w:t>ом робочої сили, раціональну організацію праці працівників, виплату заробітної плати, розподіл прибутків, сплату податків, зборів та інших платежів, розрахунок економічної ефективності діяльності, ціноутворення, залучення інвестицій,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Функції підприємства, які полягають у забезпеченні належних умов праці та відпочинку працівників, створенні сприятливого психологічного клімату у колективі, наданні допомоги та пільг працівникам, членам їх сімей та ін.,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Функції підприємства, пов’язані із виконанням функцій в системі міжнародного обміну товарів, спільному з іноземними партнерами виробництві, науково-технічному співробітництві тощо,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Діяльність підприємства, сутність якої полягає у комплексному дослідженні ринку, рівня конкуренції на ньому, цін на продукцію, вимог покупців до продукції, методів і способів формування споживчого попиту, каналів розподілу товарів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Діяльність підприємства, яка безпосередньо пов’язана із виготовленням необхідної ринку продукції і полягає у визначенні та обґрунтуванні номенклатури та асортименту продукції, обсягів її виготовлення, формуванні маркетингових програм для окремих ринків і кожного виду продукції, збалансуванні виробничої потужності та програми випуску продукції, забезпеченні виробничого процесу необхідними матеріально-технічними ресурсами, формуванні оперативних планів і графіків виготовлення продукції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Теорія, яка трактує підприємство як один із суб’єктів у середовищі собі подібних,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Теорія, яка розглядає підприємство як організацію, створену людьми для більш ефективного використання їх можливостей,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Угода, укладена між двома або кількома засновниками щодо створення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6.</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Документ, який містить відомості про юридичну особу та його відокремлені підрозділи, або фізичну особу-підприємця і використовується для їх ідентифікації під час здійснення господарської діяльності та відкриття рахунку в банку,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7.</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метою діяльності яких є отримання прибутку,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засновані на власності однієї особи з правом найму робочої сили,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які  засновані на власності громади адміністративно-територіальної одиниці і утворюються уповноваженим органом місцевого самоврядування на базі відокремленої частини комунальної власності і входять до сфери його управління,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Підприємства, які створюються одним засновником, який виділяє необхідне майно, формує статутний капітал, не поділений на частки (паї), </w:t>
            </w:r>
            <w:r w:rsidRPr="00DE70D1">
              <w:rPr>
                <w:rFonts w:ascii="Times New Roman" w:hAnsi="Times New Roman" w:cs="Times New Roman"/>
                <w:color w:val="000000" w:themeColor="text1"/>
                <w:sz w:val="28"/>
                <w:szCs w:val="28"/>
              </w:rPr>
              <w:lastRenderedPageBreak/>
              <w:t>затверджує статут, розподіляє доходи, здійснює керівництво та ін.,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які утворюються двома або більше засновниками на основі об’єднання майна, їх спільного управління справами на основі корпоративних прав, участі засновників у розподілі доходів та ризиків підприємства,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Підприємства, у яких середньооблікова чисельність працюючих за звітний рік </w:t>
            </w:r>
            <w:r w:rsidRPr="00DE70D1">
              <w:rPr>
                <w:rFonts w:ascii="Times New Roman" w:hAnsi="Times New Roman" w:cs="Times New Roman"/>
                <w:iCs/>
                <w:color w:val="000000" w:themeColor="text1"/>
                <w:sz w:val="28"/>
                <w:szCs w:val="28"/>
              </w:rPr>
              <w:t xml:space="preserve">не перевищує п’ятдесяти осіб, </w:t>
            </w:r>
            <w:r w:rsidRPr="00DE70D1">
              <w:rPr>
                <w:rFonts w:ascii="Times New Roman" w:hAnsi="Times New Roman" w:cs="Times New Roman"/>
                <w:color w:val="000000" w:themeColor="text1"/>
                <w:sz w:val="28"/>
                <w:szCs w:val="28"/>
              </w:rPr>
              <w:t xml:space="preserve">а обсяг валового доходу від реалізації продукції (робіт, послуг) за цей період не перевищує суми, еквівалентної </w:t>
            </w:r>
            <w:r w:rsidRPr="00DE70D1">
              <w:rPr>
                <w:rFonts w:ascii="Times New Roman" w:hAnsi="Times New Roman" w:cs="Times New Roman"/>
                <w:iCs/>
                <w:color w:val="000000" w:themeColor="text1"/>
                <w:sz w:val="28"/>
                <w:szCs w:val="28"/>
              </w:rPr>
              <w:t>10 мільйонам євро</w:t>
            </w:r>
            <w:r w:rsidRPr="00DE70D1">
              <w:rPr>
                <w:rFonts w:ascii="Times New Roman Italic" w:hAnsi="Times New Roman Italic" w:cs="Times New Roman Italic"/>
                <w:i/>
                <w:iCs/>
                <w:color w:val="000000" w:themeColor="text1"/>
                <w:sz w:val="28"/>
                <w:szCs w:val="28"/>
              </w:rPr>
              <w:t xml:space="preserve"> </w:t>
            </w:r>
            <w:r w:rsidRPr="00DE70D1">
              <w:rPr>
                <w:rFonts w:ascii="Times New Roman" w:hAnsi="Times New Roman" w:cs="Times New Roman"/>
                <w:color w:val="000000" w:themeColor="text1"/>
                <w:sz w:val="28"/>
                <w:szCs w:val="28"/>
              </w:rPr>
              <w:t>за середньорічним курсом Національного банку щодо гривні,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у яких середньооблікова чисельність працюючих за звітний рік</w:t>
            </w:r>
          </w:p>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iCs/>
                <w:color w:val="000000" w:themeColor="text1"/>
                <w:sz w:val="28"/>
                <w:szCs w:val="28"/>
              </w:rPr>
              <w:t xml:space="preserve">перевищує тисячу осіб, </w:t>
            </w:r>
            <w:r w:rsidRPr="00DE70D1">
              <w:rPr>
                <w:rFonts w:ascii="Times New Roman" w:hAnsi="Times New Roman" w:cs="Times New Roman"/>
                <w:color w:val="000000" w:themeColor="text1"/>
                <w:sz w:val="28"/>
                <w:szCs w:val="28"/>
              </w:rPr>
              <w:t xml:space="preserve">а обсяг валового доходу від реалізації продукції (робіт, послуг) за рік перевищує суму, еквівалентну </w:t>
            </w:r>
            <w:r w:rsidRPr="00DE70D1">
              <w:rPr>
                <w:rFonts w:ascii="Times New Roman" w:hAnsi="Times New Roman" w:cs="Times New Roman"/>
                <w:iCs/>
                <w:color w:val="000000" w:themeColor="text1"/>
                <w:sz w:val="28"/>
                <w:szCs w:val="28"/>
              </w:rPr>
              <w:t xml:space="preserve">п’ятдесяти мільйонам євро </w:t>
            </w:r>
            <w:r w:rsidRPr="00DE70D1">
              <w:rPr>
                <w:rFonts w:ascii="Times New Roman" w:hAnsi="Times New Roman" w:cs="Times New Roman"/>
                <w:color w:val="000000" w:themeColor="text1"/>
                <w:sz w:val="28"/>
                <w:szCs w:val="28"/>
              </w:rPr>
              <w:t>за середньорічним курсом Національного банку щодо гривні,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що має статутний капітал, поділений на частки, розмір яких визначається установчими документами; таке 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Зовнішнє середовище підприємства складається з:</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Компонент макросередовища, який дозволяє зрозуміти, як формуються і розподіляються ресурси,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Компонент макросередовища, який включає всі дії влади, які впливають на бізнес і можуть реалізовуватися через офіційне законодавство, засоби конкурентної політики та регулювання,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Компонент макросередовища, який складається з таких соціальних явищ і процесів, як: якість життя, відношення людей до праці, звичаї, традиції та віри, які існують в суспільстві, суспільні цінності, демографічна структура суспільства, ріст чисельності населення, рівень освіченості, мобільність людей,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Компонент макросередовища, який дозволяє побачити ті можливості, які існують для виробництва нової, вдосконалення наявної продукції,. для модернізації технології виробництва і збуту, розвитку науки і техніки,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Компонент макросередовища підприємства, який включає природні властивості регіону (клімат, рельєф, наявність природних водойм, рік </w:t>
            </w:r>
            <w:r w:rsidRPr="00DE70D1">
              <w:rPr>
                <w:rFonts w:ascii="Times New Roman" w:hAnsi="Times New Roman" w:cs="Times New Roman"/>
                <w:color w:val="000000" w:themeColor="text1"/>
                <w:sz w:val="28"/>
                <w:szCs w:val="28"/>
              </w:rPr>
              <w:lastRenderedPageBreak/>
              <w:t>тощо), забезпеченість енергією, корисними копалинами та іншими природними ресурсами, якість ґрунтів, повітря, води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Середовище прямого впливу на підприємство, учасники ринку, які безпосередньо конкурують з підприємством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з якими підприємство бореться за покупця та ресурси,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кількісний склад і взаємозв’язки виробничих підрозділів підприємства, які прямо або опосередковано беруть участь у виробничому процесі,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DE70D1">
              <w:rPr>
                <w:rFonts w:ascii="Times New Roman" w:hAnsi="Times New Roman" w:cs="Times New Roman"/>
                <w:color w:val="000000" w:themeColor="text1"/>
                <w:sz w:val="28"/>
                <w:szCs w:val="28"/>
              </w:rPr>
              <w:t>цехів</w:t>
            </w:r>
            <w:proofErr w:type="spellEnd"/>
            <w:r w:rsidRPr="00DE70D1">
              <w:rPr>
                <w:rFonts w:ascii="Times New Roman" w:hAnsi="Times New Roman" w:cs="Times New Roman"/>
                <w:color w:val="000000" w:themeColor="text1"/>
                <w:sz w:val="28"/>
                <w:szCs w:val="28"/>
              </w:rPr>
              <w:t>,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Цехи, які забезпечують нормальну роботу основних і допоміжних </w:t>
            </w:r>
            <w:proofErr w:type="spellStart"/>
            <w:r w:rsidRPr="00DE70D1">
              <w:rPr>
                <w:rFonts w:ascii="Times New Roman" w:hAnsi="Times New Roman" w:cs="Times New Roman"/>
                <w:color w:val="000000" w:themeColor="text1"/>
                <w:sz w:val="28"/>
                <w:szCs w:val="28"/>
              </w:rPr>
              <w:t>цехів</w:t>
            </w:r>
            <w:proofErr w:type="spellEnd"/>
            <w:r w:rsidRPr="00DE70D1">
              <w:rPr>
                <w:rFonts w:ascii="Times New Roman" w:hAnsi="Times New Roman" w:cs="Times New Roman"/>
                <w:color w:val="000000" w:themeColor="text1"/>
                <w:sz w:val="28"/>
                <w:szCs w:val="28"/>
              </w:rPr>
              <w:t>,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Прийоми і способи управління, в основі яких лежить свідоме використання системи економічних законів, економічний розрахунок, економічні інтереси, передбачення економічних результатів прийнятих рішень, матеріальна зацікавленість і відповідальність працівників,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Методи </w:t>
            </w:r>
            <w:r w:rsidRPr="00DE70D1">
              <w:rPr>
                <w:rFonts w:ascii="Times New Roman" w:hAnsi="Times New Roman" w:cs="Times New Roman"/>
                <w:color w:val="000000" w:themeColor="text1"/>
                <w:sz w:val="28"/>
                <w:szCs w:val="28"/>
              </w:rPr>
              <w:t>управління, які передбачають юридичний (правовий) і адміністративний вплив на відносини людей в процесі виробництва, оскільки ці відносини регулюються певними правовими нормами,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Методи </w:t>
            </w:r>
            <w:r w:rsidRPr="00DE70D1">
              <w:rPr>
                <w:rFonts w:ascii="Times New Roman" w:hAnsi="Times New Roman" w:cs="Times New Roman"/>
                <w:color w:val="000000" w:themeColor="text1"/>
                <w:sz w:val="28"/>
                <w:szCs w:val="28"/>
              </w:rPr>
              <w:t>управління, які забезпечують вільний</w:t>
            </w:r>
          </w:p>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lastRenderedPageBreak/>
              <w:t>розвиток особистості і колективу, побудову їх діяльності на активній творчій основі,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Склад, взаємодія, підзвітність елементів системи управління, тобто окремих підрозділів та працівників,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ринку, яка забезпечує встановлення пропорцій в економіці, узгодженість попиту і пропозиції,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spacing w:line="228" w:lineRule="auto"/>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Не є видом ринку за об’єктивним складом:</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spacing w:line="228" w:lineRule="auto"/>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Не є видом ринком за суб’єктним складом:</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spacing w:line="228" w:lineRule="auto"/>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Ринок, якій охоплює територію окремого населеного пункту (селища, міста) або району,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Ринок, на якому існує безліч виробників, які</w:t>
            </w:r>
            <w:r>
              <w:rPr>
                <w:rFonts w:ascii="Times New Roman" w:hAnsi="Times New Roman" w:cs="Times New Roman"/>
                <w:color w:val="000000" w:themeColor="text1"/>
                <w:sz w:val="28"/>
                <w:szCs w:val="28"/>
              </w:rPr>
              <w:t xml:space="preserve"> </w:t>
            </w:r>
            <w:r w:rsidRPr="00DE70D1">
              <w:rPr>
                <w:rFonts w:ascii="Times New Roman" w:hAnsi="Times New Roman" w:cs="Times New Roman"/>
                <w:color w:val="000000" w:themeColor="text1"/>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Ринкова структура, яка характеризується великою кількістю невеликих підприємств і фірм, які не впливають на ринкову ціну,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Ринкова структура, яка характеризується ринковою владою продавців диференційованого товару, які конкурують між собою за обсяги продажів, тобто за споживачів,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Ринкова структура, яка характеризується концентрацією всієї галузевої пропозиції в одного виробника (продавця),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Ринкова структура, яка характеризується функціонуванням незначної кількості підприємств, а галузеві вхідні бар’єри є досить високими і тому проникнення в галузь утруднене,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Конкретні способи та прийоми, за допомогою яких розраховуються числові значення планових показників  і стратегічних програм,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планові показники встановлюються, виходячи із ресурсних можливостей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планові показники встановлюються з використанням середніх статистичних величин за даними минулих періодів,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величини планових показників визначаються на підставі впливу на них різних техніко-економічних чинників,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який полягає у використанні у планових розрахунках системи таблиць-балансів, які відображають потреби у певних видах ресурсів та джерела їх покриття,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здійснюється оптимізація плану підприємства за</w:t>
            </w:r>
            <w:r>
              <w:rPr>
                <w:rFonts w:ascii="Times New Roman" w:hAnsi="Times New Roman" w:cs="Times New Roman"/>
                <w:color w:val="000000" w:themeColor="text1"/>
                <w:sz w:val="28"/>
                <w:szCs w:val="28"/>
              </w:rPr>
              <w:t xml:space="preserve"> </w:t>
            </w:r>
            <w:r w:rsidRPr="00DE70D1">
              <w:rPr>
                <w:rFonts w:ascii="Times New Roman" w:hAnsi="Times New Roman" w:cs="Times New Roman"/>
                <w:color w:val="000000" w:themeColor="text1"/>
                <w:sz w:val="28"/>
                <w:szCs w:val="28"/>
              </w:rPr>
              <w:t xml:space="preserve">допомогою математичних </w:t>
            </w:r>
            <w:proofErr w:type="spellStart"/>
            <w:r w:rsidRPr="00DE70D1">
              <w:rPr>
                <w:rFonts w:ascii="Times New Roman" w:hAnsi="Times New Roman" w:cs="Times New Roman"/>
                <w:color w:val="000000" w:themeColor="text1"/>
                <w:sz w:val="28"/>
                <w:szCs w:val="28"/>
              </w:rPr>
              <w:t>залежностей</w:t>
            </w:r>
            <w:proofErr w:type="spellEnd"/>
            <w:r w:rsidRPr="00DE70D1">
              <w:rPr>
                <w:rFonts w:ascii="Times New Roman" w:hAnsi="Times New Roman" w:cs="Times New Roman"/>
                <w:color w:val="000000" w:themeColor="text1"/>
                <w:sz w:val="28"/>
                <w:szCs w:val="28"/>
              </w:rPr>
              <w:t xml:space="preserve"> і прийнятого критерію оптимізації,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який передбачає використання графіків та діаграм при визначенні планових показників,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планові показники встановлюються на основі використання прогресивних норм витрат ресурсів з урахуванням зміни цих норм у плановому році,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Плани, завдання в яких є обов’язковими для виконання,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DE70D1">
              <w:rPr>
                <w:rFonts w:ascii="Times New Roman" w:hAnsi="Times New Roman" w:cs="Times New Roman"/>
                <w:color w:val="000000" w:themeColor="text1"/>
                <w:sz w:val="28"/>
                <w:szCs w:val="28"/>
              </w:rPr>
              <w:t xml:space="preserve">. </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Плани, завдання в яких не є обов’язковим для виконання, а мають </w:t>
            </w:r>
            <w:proofErr w:type="spellStart"/>
            <w:r w:rsidRPr="00DE70D1">
              <w:rPr>
                <w:rFonts w:ascii="Times New Roman" w:hAnsi="Times New Roman" w:cs="Times New Roman"/>
                <w:color w:val="000000" w:themeColor="text1"/>
                <w:sz w:val="28"/>
                <w:szCs w:val="28"/>
              </w:rPr>
              <w:t>скеровуючий</w:t>
            </w:r>
            <w:proofErr w:type="spellEnd"/>
            <w:r w:rsidRPr="00DE70D1">
              <w:rPr>
                <w:rFonts w:ascii="Times New Roman" w:hAnsi="Times New Roman" w:cs="Times New Roman"/>
                <w:color w:val="000000" w:themeColor="text1"/>
                <w:sz w:val="28"/>
                <w:szCs w:val="28"/>
              </w:rPr>
              <w:t>, рекомендаційний характер,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Плани, які охоплюють період, більший, ніж 5 років, покликані визначати довгострокову стратегію підприємства,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Плани, які охоплюють період 1- 5 років, деталізують перспективні щодо хронологічної послідовності досягнення цілей, ресурсного</w:t>
            </w:r>
            <w:r>
              <w:rPr>
                <w:rFonts w:ascii="Times New Roman" w:hAnsi="Times New Roman" w:cs="Times New Roman"/>
                <w:color w:val="000000" w:themeColor="text1"/>
                <w:sz w:val="28"/>
                <w:szCs w:val="28"/>
              </w:rPr>
              <w:t xml:space="preserve"> </w:t>
            </w:r>
            <w:r w:rsidRPr="00DE70D1">
              <w:rPr>
                <w:rFonts w:ascii="Times New Roman" w:hAnsi="Times New Roman" w:cs="Times New Roman"/>
                <w:color w:val="000000" w:themeColor="text1"/>
                <w:sz w:val="28"/>
                <w:szCs w:val="28"/>
              </w:rPr>
              <w:t>забезпечення їх досягнення, відповідальних за виконання осіб,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Плани, які розраховані на період до 1 року, включаючи піврічне, квартальне, місячне планування,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Стратегія, яка передбачає збільшення підприємства, часто через проникнення і захоплення нових ринків,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Оборонна стратегія, спрямована на збереження масштабів виробництва і частки підприємства на ринку,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Стратегія, яка передбачає згортання виробництва і закриття окремих виробництв і скорочення підрозділів; використовується в умовах існування загрози виживанню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Система адресних завдань з виробництва і доставки продукції споживачам у розгорнутій номенклатурі, асортименті, відповідної якості і у встановлені терміни згідно із договорами поставок,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Частина виготовленої на підприємстві</w:t>
            </w:r>
            <w:r>
              <w:rPr>
                <w:rFonts w:ascii="Times New Roman" w:hAnsi="Times New Roman" w:cs="Times New Roman"/>
                <w:color w:val="000000" w:themeColor="text1"/>
                <w:sz w:val="28"/>
                <w:szCs w:val="28"/>
              </w:rPr>
              <w:t xml:space="preserve"> </w:t>
            </w:r>
            <w:r w:rsidRPr="00DE70D1">
              <w:rPr>
                <w:rFonts w:ascii="Times New Roman" w:hAnsi="Times New Roman" w:cs="Times New Roman"/>
                <w:color w:val="000000" w:themeColor="text1"/>
                <w:sz w:val="28"/>
                <w:szCs w:val="28"/>
              </w:rPr>
              <w:t>продукції, яка призначена для реалізації на сторону,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Продукція, яка відвантажена споживачам та за яку надійшли кошти на поточний рахунок підприємства або мають надійти у чітко встановлені терміни,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Характеризує вид трудової діяльності, яка потребує спеціальних знань, підготовки і практичних навичок:</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Виділяється в межах певної професії і характеризує вузький різновид трудової діяльності, яка вимагає від виконавця робіт вужчої, але глибшої підготовки:</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Працівники, які здійснюють господарське обслуговування, підготовку та оформлення документації, функції обліку і контролю, виконання яких не вимагає тривалої фахової підготовки і високого рівня кваліфікації працівників,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Працівники, які займають посади керівників підприємства та його структурних підрозділів,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Співвідношення між окремими групами і категоріями персоналу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Кількісне співвідношення між різними категоріями працівників, які відрізняються характером виконуваних функцій, називається:</w:t>
            </w:r>
          </w:p>
        </w:tc>
      </w:tr>
      <w:tr w:rsidR="009576F1" w:rsidRPr="00DE70D1" w:rsidTr="009576F1">
        <w:trPr>
          <w:trHeight w:val="1759"/>
        </w:trPr>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Частка працівників різних професій та кваліфікаційних рівнів у загальній чисельності персоналу,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iCs/>
                <w:color w:val="000000" w:themeColor="text1"/>
                <w:sz w:val="28"/>
                <w:szCs w:val="28"/>
              </w:rPr>
              <w:t>Структура персоналу</w:t>
            </w:r>
            <w:r w:rsidRPr="00DE70D1">
              <w:rPr>
                <w:rFonts w:ascii="Times New Roman" w:hAnsi="Times New Roman" w:cs="Times New Roman"/>
                <w:color w:val="000000" w:themeColor="text1"/>
                <w:sz w:val="28"/>
                <w:szCs w:val="28"/>
              </w:rPr>
              <w:t>, яка характеризує співвідношення працівників різних статей у загальній чисельності персоналу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iCs/>
                <w:color w:val="000000" w:themeColor="text1"/>
                <w:sz w:val="28"/>
                <w:szCs w:val="28"/>
              </w:rPr>
              <w:t>Структура персоналу, яка</w:t>
            </w:r>
            <w:r w:rsidRPr="00DE70D1">
              <w:rPr>
                <w:rFonts w:ascii="Times New Roman Italic" w:hAnsi="Times New Roman Italic" w:cs="Times New Roman Italic"/>
                <w:i/>
                <w:iCs/>
                <w:color w:val="000000" w:themeColor="text1"/>
                <w:sz w:val="28"/>
                <w:szCs w:val="28"/>
              </w:rPr>
              <w:t xml:space="preserve"> </w:t>
            </w:r>
            <w:r w:rsidRPr="00DE70D1">
              <w:rPr>
                <w:rFonts w:ascii="Times New Roman" w:hAnsi="Times New Roman" w:cs="Times New Roman"/>
                <w:color w:val="000000" w:themeColor="text1"/>
                <w:sz w:val="28"/>
                <w:szCs w:val="28"/>
              </w:rPr>
              <w:t>відображає співвідношення чисельності працівників відповідних вікових груп у загальній чисельності персоналу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07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Чисельність персоналу, яка обчислюється як відношення суми чисельності за кожен день періоду до кількості календарних днів у періоді,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 зовнішніх джерел набору персоналу не відносять:</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0.</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1.</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заробітної плати, яка забезпечує нормальне відтворення працівника як робочої сили відповідної кваліфікації,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заробітної плати, яка передбачає встановлення таких розмірів оплати праці, які спонукали б працівників до підвищення продуктивності праці, покращення результатів роботи,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оплати праці, яка реалізує принцип диференціації заробітної плати залежно від фаху, рівня кваліфікації, складності праці, напруженості завдань,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оплати праці, яка спрямована на забезпечення однакової оплати праці за однакову роботу, реалізує принцип соціальної справедливості,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Заробітна плата, яка відображає суму грошей, яку отримує працівник за свою працю,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Заробітна плата, яка визначається </w:t>
            </w:r>
            <w:r w:rsidRPr="00DE70D1">
              <w:rPr>
                <w:rFonts w:ascii="Times New Roman" w:hAnsi="Times New Roman" w:cs="Times New Roman"/>
                <w:iCs/>
                <w:color w:val="000000" w:themeColor="text1"/>
                <w:sz w:val="28"/>
                <w:szCs w:val="28"/>
              </w:rPr>
              <w:t>кінцевими результатами роботи підприємства</w:t>
            </w:r>
            <w:r w:rsidRPr="00DE70D1">
              <w:rPr>
                <w:rFonts w:ascii="Times New Roman Italic" w:hAnsi="Times New Roman Italic" w:cs="Times New Roman Italic"/>
                <w:i/>
                <w:iCs/>
                <w:color w:val="000000" w:themeColor="text1"/>
                <w:sz w:val="28"/>
                <w:szCs w:val="28"/>
              </w:rPr>
              <w:t xml:space="preserve"> </w:t>
            </w:r>
            <w:r w:rsidRPr="00DE70D1">
              <w:rPr>
                <w:rFonts w:ascii="Times New Roman" w:hAnsi="Times New Roman" w:cs="Times New Roman"/>
                <w:color w:val="000000" w:themeColor="text1"/>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22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Заробітна плата, яка являє собою </w:t>
            </w:r>
            <w:r w:rsidRPr="00DE70D1">
              <w:rPr>
                <w:rFonts w:ascii="Times New Roman" w:hAnsi="Times New Roman" w:cs="Times New Roman"/>
                <w:bCs/>
                <w:iCs/>
                <w:color w:val="000000" w:themeColor="text1"/>
                <w:sz w:val="28"/>
                <w:szCs w:val="28"/>
              </w:rPr>
              <w:t xml:space="preserve">встановлений на законодавчому рівні розмір заробітної плати за просту, </w:t>
            </w:r>
            <w:proofErr w:type="spellStart"/>
            <w:r w:rsidRPr="00DE70D1">
              <w:rPr>
                <w:rFonts w:ascii="Times New Roman" w:hAnsi="Times New Roman" w:cs="Times New Roman"/>
                <w:bCs/>
                <w:iCs/>
                <w:color w:val="000000" w:themeColor="text1"/>
                <w:sz w:val="28"/>
                <w:szCs w:val="28"/>
              </w:rPr>
              <w:t>неквалiфiковану</w:t>
            </w:r>
            <w:proofErr w:type="spellEnd"/>
            <w:r w:rsidRPr="00DE70D1">
              <w:rPr>
                <w:rFonts w:ascii="Times New Roman" w:hAnsi="Times New Roman" w:cs="Times New Roman"/>
                <w:bCs/>
                <w:iCs/>
                <w:color w:val="000000" w:themeColor="text1"/>
                <w:sz w:val="28"/>
                <w:szCs w:val="28"/>
              </w:rPr>
              <w:t xml:space="preserve"> працю,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кваліфікаційних розрядів і відповідних їм тарифних коефіцієнтів,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Розмір заробітку визначається залежно від відрядної розцінки та обсягу виготовленої продукції (виконаних робіт, наданих послуг) при використанні: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Розмір заробітної плати визначається залежно від відрядної розцінки, обсягу виготовленої продукції (виконаних робіт, наданих послу) та встановленого розміру премії за перевиконання плану при використанні: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Система оплати праці, яка </w:t>
            </w:r>
            <w:r w:rsidRPr="00DE70D1">
              <w:rPr>
                <w:rFonts w:ascii="Times New Roman" w:hAnsi="Times New Roman" w:cs="Times New Roman"/>
                <w:color w:val="000000" w:themeColor="text1"/>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color w:val="000000" w:themeColor="text1"/>
                <w:sz w:val="28"/>
                <w:szCs w:val="28"/>
              </w:rPr>
              <w:t>Якщо на підприємстві було фактично відпрацьовано 8,82 тис. люд.-год., потенційний фонд робочого часу на кожного працівника становить 1960 люд.-год.; середньорічна чисельність працівників 5 осіб, то коефіцієнт використання робочого часу дорівнює:</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bCs/>
                <w:color w:val="000000" w:themeColor="text1"/>
                <w:spacing w:val="-1"/>
                <w:sz w:val="28"/>
                <w:szCs w:val="28"/>
              </w:rPr>
            </w:pPr>
            <w:r w:rsidRPr="00DE70D1">
              <w:rPr>
                <w:rFonts w:ascii="Times New Roman" w:hAnsi="Times New Roman" w:cs="Times New Roman"/>
                <w:color w:val="000000" w:themeColor="text1"/>
                <w:sz w:val="28"/>
                <w:szCs w:val="28"/>
              </w:rPr>
              <w:t>Якщо: річний фонд оплати праці становить 329,4 тис. грн; середньорічна чисельність працівників 10 осіб, то середньомісячна заробітна плата по підприємству дорівнює:</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ind w:right="57"/>
              <w:jc w:val="both"/>
              <w:rPr>
                <w:rFonts w:ascii="Times New Roman" w:hAnsi="Times New Roman" w:cs="Times New Roman"/>
                <w:bCs/>
                <w:color w:val="000000" w:themeColor="text1"/>
                <w:spacing w:val="-1"/>
                <w:sz w:val="28"/>
                <w:szCs w:val="28"/>
                <w:lang w:val="ru-RU"/>
              </w:rPr>
            </w:pPr>
            <w:r w:rsidRPr="00DE70D1">
              <w:rPr>
                <w:rFonts w:ascii="Times New Roman" w:hAnsi="Times New Roman" w:cs="Times New Roman"/>
                <w:color w:val="000000" w:themeColor="text1"/>
                <w:sz w:val="28"/>
                <w:szCs w:val="28"/>
              </w:rPr>
              <w:t>Якщо місячний фонд оплати праці становив 20,5 тис. грн; чисельність працівників 8 осіб; відпрацьовано кожним працівником за місяць 140 годин, то  погодинна оплата праці дорівнює:</w:t>
            </w:r>
            <w:r w:rsidRPr="00DE70D1">
              <w:rPr>
                <w:rFonts w:ascii="Times New Roman" w:hAnsi="Times New Roman" w:cs="Times New Roman"/>
                <w:bCs/>
                <w:color w:val="000000" w:themeColor="text1"/>
                <w:spacing w:val="-1"/>
                <w:sz w:val="28"/>
                <w:szCs w:val="28"/>
                <w:lang w:val="ru-RU"/>
              </w:rPr>
              <w:t xml:space="preserve"> </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jc w:val="both"/>
              <w:rPr>
                <w:rFonts w:ascii="Times New Roman" w:hAnsi="Times New Roman" w:cs="Times New Roman"/>
                <w:color w:val="000000" w:themeColor="text1"/>
                <w:sz w:val="28"/>
                <w:szCs w:val="28"/>
              </w:rPr>
            </w:pPr>
            <w:r w:rsidRPr="00DE70D1">
              <w:rPr>
                <w:rFonts w:ascii="Times New Roman" w:hAnsi="Times New Roman" w:cs="Times New Roman"/>
                <w:bCs/>
                <w:color w:val="000000" w:themeColor="text1"/>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jc w:val="both"/>
              <w:rPr>
                <w:rFonts w:ascii="Times New Roman" w:hAnsi="Times New Roman" w:cs="Times New Roman"/>
                <w:color w:val="000000" w:themeColor="text1"/>
                <w:sz w:val="28"/>
                <w:szCs w:val="28"/>
              </w:rPr>
            </w:pPr>
            <w:r w:rsidRPr="00DE70D1">
              <w:rPr>
                <w:rFonts w:ascii="Times New Roman" w:hAnsi="Times New Roman" w:cs="Times New Roman"/>
                <w:bCs/>
                <w:color w:val="000000" w:themeColor="text1"/>
                <w:sz w:val="28"/>
                <w:szCs w:val="28"/>
              </w:rPr>
              <w:t>Якщо на підприємстві було фактично відпрацьовано 586 тис люд.-год., потенційний фонд робочого часу на кожного працівника становить 1920 люд.-год.; середньорічна чисельність працівників 305 осіб, то коефіцієнт використання робочого часу дорівнює:</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36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DE70D1">
              <w:rPr>
                <w:rFonts w:ascii="Times New Roman" w:hAnsi="Times New Roman" w:cs="Times New Roman"/>
                <w:color w:val="000000" w:themeColor="text1"/>
                <w:sz w:val="28"/>
                <w:szCs w:val="28"/>
              </w:rPr>
              <w:t>переносять</w:t>
            </w:r>
            <w:proofErr w:type="spellEnd"/>
            <w:r w:rsidRPr="00DE70D1">
              <w:rPr>
                <w:rFonts w:ascii="Times New Roman" w:hAnsi="Times New Roman" w:cs="Times New Roman"/>
                <w:color w:val="000000" w:themeColor="text1"/>
                <w:sz w:val="28"/>
                <w:szCs w:val="28"/>
              </w:rPr>
              <w:t xml:space="preserve"> свою вартість на вартість готової продукції поступово, шляхом амортизаційних відрахувань,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підприємства (робочі машини і обладнання, прилади та інструменти, обчислювальна техніка),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Втрата основними засобами своєї вартості, тобто старіння у фізичному та економічному розумінні,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4.</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Втрата основними засобами своїх споживчих властивостей, внаслідок чого вони перестають задовольняти поставленим до них вимогам, називають:</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5.</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Передчасне, до закінчення строку фізичної служби, знецінення основних засобів, яке призводить до втрати доцільності їх використання,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6.</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Ремонт основних засобів, який </w:t>
            </w:r>
            <w:r w:rsidRPr="00DE70D1">
              <w:rPr>
                <w:rFonts w:ascii="Times New Roman" w:hAnsi="Times New Roman" w:cs="Times New Roman"/>
                <w:color w:val="000000" w:themeColor="text1"/>
                <w:sz w:val="28"/>
                <w:szCs w:val="28"/>
              </w:rPr>
              <w:t>породжується випадковими поломками, що принципово не впливають на нормальне використання основних засобів, має характер дрібних налагоджувальних робіт,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7.</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Ремонт основних засобів, який </w:t>
            </w:r>
            <w:r w:rsidRPr="00DE70D1">
              <w:rPr>
                <w:rFonts w:ascii="Times New Roman" w:hAnsi="Times New Roman" w:cs="Times New Roman"/>
                <w:color w:val="000000" w:themeColor="text1"/>
                <w:sz w:val="28"/>
                <w:szCs w:val="28"/>
              </w:rPr>
              <w:t>породжується їх закономірним зношуванням і спрямований на відновлення їх початкових експлуатаційних характеристик, передбачає повну розбірність агрегатів, заміну певних вузлів; проводиться у спеціалізованих цехах, часто супроводжується модернізацією,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149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DE70D1">
              <w:rPr>
                <w:rFonts w:ascii="Times New Roman" w:hAnsi="Times New Roman" w:cs="Times New Roman"/>
                <w:color w:val="000000" w:themeColor="text1"/>
                <w:sz w:val="28"/>
                <w:szCs w:val="28"/>
              </w:rPr>
              <w:t>прискорюючий</w:t>
            </w:r>
            <w:proofErr w:type="spellEnd"/>
            <w:r w:rsidRPr="00DE70D1">
              <w:rPr>
                <w:rFonts w:ascii="Times New Roman" w:hAnsi="Times New Roman" w:cs="Times New Roman"/>
                <w:color w:val="000000" w:themeColor="text1"/>
                <w:sz w:val="28"/>
                <w:szCs w:val="28"/>
              </w:rPr>
              <w:t xml:space="preserve"> коефіцієнт,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нарахування амортизації, при якому Річна сума амортизації обчислюється як добуток вартості, яка амортизується, на кумулятивний коефіцієнт,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DE70D1">
              <w:rPr>
                <w:rFonts w:ascii="Times New Roman Italic" w:hAnsi="Times New Roman Italic" w:cs="Times New Roman Italic"/>
                <w:i/>
                <w:iCs/>
                <w:color w:val="000000" w:themeColor="text1"/>
                <w:sz w:val="28"/>
                <w:szCs w:val="28"/>
              </w:rPr>
              <w:t xml:space="preserve">, </w:t>
            </w:r>
            <w:r w:rsidRPr="00DE70D1">
              <w:rPr>
                <w:rFonts w:ascii="Times New Roman" w:hAnsi="Times New Roman" w:cs="Times New Roman"/>
                <w:color w:val="000000" w:themeColor="text1"/>
                <w:sz w:val="28"/>
                <w:szCs w:val="28"/>
              </w:rPr>
              <w:t>на виробничу ставку амортизації,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Форма відтворення основних засобів, яка полягає у заміні фізично і морально зношених основних засобів новими, часто з кращими технічними характеристиками, є необхідною умовою збереження існуючих масштабів виробництва,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Style w:val="HTML"/>
              <w:shd w:val="clear" w:color="auto" w:fill="FFFFFF"/>
              <w:jc w:val="both"/>
              <w:textAlignment w:val="baseline"/>
              <w:rPr>
                <w:rFonts w:ascii="Times New Roman" w:hAnsi="Times New Roman" w:cs="Times New Roman"/>
                <w:color w:val="000000" w:themeColor="text1"/>
                <w:sz w:val="28"/>
                <w:szCs w:val="28"/>
                <w:lang w:val="uk-UA"/>
              </w:rPr>
            </w:pPr>
            <w:r w:rsidRPr="00DE70D1">
              <w:rPr>
                <w:rFonts w:ascii="Times New Roman" w:hAnsi="Times New Roman" w:cs="Times New Roman"/>
                <w:color w:val="000000" w:themeColor="text1"/>
                <w:sz w:val="28"/>
                <w:szCs w:val="28"/>
                <w:lang w:val="uk-UA"/>
              </w:rPr>
              <w:t>Відношення суми нарахованого зносу основних засобів до їх первісної вартості,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залишкової вартості основних засобів до їх первісної вартості,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вартості ліквідованих основних засобів до їх загальної залишкової вартості на початок року,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обсягу валової (товарної, реалізованої) продукції до середньорічної вартості основних засобів,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прибутку підприємства до середньорічної вартості основних засобів,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середньорічної вартості основних засобів до середньооблікової чисельності працюючих,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w:t>
            </w:r>
            <w:r>
              <w:rPr>
                <w:rFonts w:ascii="Times New Roman" w:hAnsi="Times New Roman" w:cs="Times New Roman"/>
                <w:color w:val="000000" w:themeColor="text1"/>
                <w:sz w:val="28"/>
                <w:szCs w:val="28"/>
              </w:rPr>
              <w:t>зник</w:t>
            </w:r>
            <w:r w:rsidRPr="00DE70D1">
              <w:rPr>
                <w:rFonts w:ascii="Times New Roman" w:hAnsi="Times New Roman" w:cs="Times New Roman"/>
                <w:color w:val="000000" w:themeColor="text1"/>
                <w:sz w:val="28"/>
                <w:szCs w:val="28"/>
              </w:rPr>
              <w:t>, який розраховується відношенням дійсного фонду робочого часу обладнання за період до дійсного фонду робочого часу обладнання за певний період при однозмінній роботі, та показує у скільки фактично змін працює обладнання,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16</w:t>
            </w:r>
            <w:r w:rsidRPr="00DE70D1">
              <w:rPr>
                <w:rFonts w:ascii="Times New Roman" w:hAnsi="Times New Roman" w:cs="Times New Roman"/>
                <w:color w:val="000000" w:themeColor="text1"/>
                <w:sz w:val="28"/>
                <w:szCs w:val="28"/>
              </w:rPr>
              <w:t>4.</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який розраховується як відношення дійсного фонду робочого часу обладнання до планованого, та характеризує його використання у часі,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5.</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який розраховується як відношення фактично виготовленого обсягу продукції обладнанням до запланованого, та характеризує його використання за продуктивністю,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6.</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якій розраховується як добуток коефіцієнта інтенсивного та коефіцієнта екстенсивного завантаження обладнання, та характеризує його завантаження, як у часі та і за продуктивністю,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7.</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8.</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Первісна вартість основного засобу 100 тис. грн., сума нарахованого зносу за період експлуатації 25 тис. грн., норма амортизації 0,5, річна сума амортизації визначена методом зменшення залишкової вартості: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9.</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Первісна вартість основного засобу 100 тис. грн., сума нарахованого зносу за період експлуатації 25 тис. грн., нормативний строк експлуатації 4 років, </w:t>
            </w:r>
            <w:proofErr w:type="spellStart"/>
            <w:r w:rsidRPr="00DE70D1">
              <w:rPr>
                <w:rFonts w:ascii="Times New Roman" w:hAnsi="Times New Roman" w:cs="Times New Roman"/>
                <w:color w:val="000000" w:themeColor="text1"/>
                <w:sz w:val="28"/>
                <w:szCs w:val="28"/>
              </w:rPr>
              <w:t>прискорюючий</w:t>
            </w:r>
            <w:proofErr w:type="spellEnd"/>
            <w:r w:rsidRPr="00DE70D1">
              <w:rPr>
                <w:rFonts w:ascii="Times New Roman" w:hAnsi="Times New Roman" w:cs="Times New Roman"/>
                <w:color w:val="000000" w:themeColor="text1"/>
                <w:sz w:val="28"/>
                <w:szCs w:val="28"/>
              </w:rPr>
              <w:t xml:space="preserve"> коефіцієнт 2, річна сума амортизації методом прискореного зменшення залишкової вартості: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0.</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Первісна вартість 100 тис. грн., залишкова 90 тис. грн., ліквідаційна – 1 тис. грн., загальний нормативний обсяг випуску продукції з використанням основного засобу 1000000 од., за рік виготовлено 50000 од., сума амортизаційних відрахувань при використанні виробничого методу:</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1.</w:t>
            </w:r>
          </w:p>
        </w:tc>
        <w:tc>
          <w:tcPr>
            <w:tcW w:w="4633" w:type="pct"/>
          </w:tcPr>
          <w:p w:rsidR="009576F1" w:rsidRPr="00DE70D1" w:rsidRDefault="009576F1" w:rsidP="00F938A8">
            <w:pPr>
              <w:tabs>
                <w:tab w:val="left" w:pos="372"/>
              </w:tabs>
              <w:ind w:right="57"/>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Визначте коефіцієнт придатності основних засобів, якщо: середньорічна вартість основних засобів 5,2 млн. грн, амортизаційні відрахування дорівнюють 1,56 млн. грн:</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2.</w:t>
            </w:r>
          </w:p>
        </w:tc>
        <w:tc>
          <w:tcPr>
            <w:tcW w:w="4633" w:type="pct"/>
          </w:tcPr>
          <w:p w:rsidR="009576F1" w:rsidRPr="00DE70D1" w:rsidRDefault="009576F1" w:rsidP="00F938A8">
            <w:pPr>
              <w:tabs>
                <w:tab w:val="left" w:pos="372"/>
              </w:tabs>
              <w:ind w:right="57"/>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Визначте коефіцієнт зносу основних засобів, якщо: середньорічна вартість основних засобів 5,2 млн. грн, амортизаційні відрахування дорівнюють 1,56 млн. грн:</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 xml:space="preserve">3. </w:t>
            </w:r>
          </w:p>
        </w:tc>
        <w:tc>
          <w:tcPr>
            <w:tcW w:w="4633" w:type="pct"/>
          </w:tcPr>
          <w:p w:rsidR="009576F1" w:rsidRPr="00DE70D1" w:rsidRDefault="009576F1" w:rsidP="00F938A8">
            <w:pPr>
              <w:tabs>
                <w:tab w:val="left" w:pos="372"/>
              </w:tabs>
              <w:jc w:val="both"/>
              <w:rPr>
                <w:rFonts w:ascii="Times New Roman" w:hAnsi="Times New Roman" w:cs="Times New Roman"/>
                <w:bCs/>
                <w:color w:val="000000" w:themeColor="text1"/>
                <w:sz w:val="28"/>
                <w:szCs w:val="28"/>
              </w:rPr>
            </w:pPr>
            <w:r w:rsidRPr="00DE70D1">
              <w:rPr>
                <w:rFonts w:ascii="Times New Roman" w:hAnsi="Times New Roman" w:cs="Times New Roman"/>
                <w:bCs/>
                <w:color w:val="000000" w:themeColor="text1"/>
                <w:sz w:val="28"/>
                <w:szCs w:val="28"/>
              </w:rPr>
              <w:t>Визначте фондовіддачу (</w:t>
            </w:r>
            <w:proofErr w:type="spellStart"/>
            <w:r w:rsidRPr="00DE70D1">
              <w:rPr>
                <w:rFonts w:ascii="Times New Roman" w:hAnsi="Times New Roman" w:cs="Times New Roman"/>
                <w:bCs/>
                <w:color w:val="000000" w:themeColor="text1"/>
                <w:sz w:val="28"/>
                <w:szCs w:val="28"/>
              </w:rPr>
              <w:t>Фв</w:t>
            </w:r>
            <w:proofErr w:type="spellEnd"/>
            <w:r w:rsidRPr="00DE70D1">
              <w:rPr>
                <w:rFonts w:ascii="Times New Roman" w:hAnsi="Times New Roman" w:cs="Times New Roman"/>
                <w:bCs/>
                <w:color w:val="000000" w:themeColor="text1"/>
                <w:sz w:val="28"/>
                <w:szCs w:val="28"/>
              </w:rPr>
              <w:t>), якщо: середньорічна вартість основних засобів становить 5,0 млн. грн; вартість виробленої продукції 12,0 млн. грн:</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4.</w:t>
            </w:r>
          </w:p>
        </w:tc>
        <w:tc>
          <w:tcPr>
            <w:tcW w:w="4633" w:type="pct"/>
          </w:tcPr>
          <w:p w:rsidR="009576F1" w:rsidRPr="00DE70D1" w:rsidRDefault="009576F1" w:rsidP="00F938A8">
            <w:pPr>
              <w:tabs>
                <w:tab w:val="left" w:pos="372"/>
              </w:tabs>
              <w:jc w:val="both"/>
              <w:rPr>
                <w:rFonts w:ascii="Times New Roman" w:hAnsi="Times New Roman" w:cs="Times New Roman"/>
                <w:bCs/>
                <w:color w:val="000000" w:themeColor="text1"/>
                <w:sz w:val="28"/>
                <w:szCs w:val="28"/>
              </w:rPr>
            </w:pPr>
            <w:r w:rsidRPr="00DE70D1">
              <w:rPr>
                <w:rFonts w:ascii="Times New Roman" w:hAnsi="Times New Roman" w:cs="Times New Roman"/>
                <w:bCs/>
                <w:color w:val="000000" w:themeColor="text1"/>
                <w:sz w:val="28"/>
                <w:szCs w:val="28"/>
              </w:rPr>
              <w:t xml:space="preserve">Визначте </w:t>
            </w:r>
            <w:proofErr w:type="spellStart"/>
            <w:r w:rsidRPr="00DE70D1">
              <w:rPr>
                <w:rFonts w:ascii="Times New Roman" w:hAnsi="Times New Roman" w:cs="Times New Roman"/>
                <w:bCs/>
                <w:color w:val="000000" w:themeColor="text1"/>
                <w:sz w:val="28"/>
                <w:szCs w:val="28"/>
              </w:rPr>
              <w:t>фондоміскість</w:t>
            </w:r>
            <w:proofErr w:type="spellEnd"/>
            <w:r w:rsidRPr="00DE70D1">
              <w:rPr>
                <w:rFonts w:ascii="Times New Roman" w:hAnsi="Times New Roman" w:cs="Times New Roman"/>
                <w:bCs/>
                <w:color w:val="000000" w:themeColor="text1"/>
                <w:sz w:val="28"/>
                <w:szCs w:val="28"/>
              </w:rPr>
              <w:t xml:space="preserve"> (</w:t>
            </w:r>
            <w:proofErr w:type="spellStart"/>
            <w:r w:rsidRPr="00DE70D1">
              <w:rPr>
                <w:rFonts w:ascii="Times New Roman" w:hAnsi="Times New Roman" w:cs="Times New Roman"/>
                <w:bCs/>
                <w:color w:val="000000" w:themeColor="text1"/>
                <w:sz w:val="28"/>
                <w:szCs w:val="28"/>
              </w:rPr>
              <w:t>Фм</w:t>
            </w:r>
            <w:proofErr w:type="spellEnd"/>
            <w:r w:rsidRPr="00DE70D1">
              <w:rPr>
                <w:rFonts w:ascii="Times New Roman" w:hAnsi="Times New Roman" w:cs="Times New Roman"/>
                <w:bCs/>
                <w:color w:val="000000" w:themeColor="text1"/>
                <w:sz w:val="28"/>
                <w:szCs w:val="28"/>
              </w:rPr>
              <w:t>), якщо: середньорічна вартість основних засобів становить 5,0 млн. грн; вартість виробленої продукції 12,0 млн. грн:</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 xml:space="preserve">5. </w:t>
            </w:r>
          </w:p>
        </w:tc>
        <w:tc>
          <w:tcPr>
            <w:tcW w:w="4633" w:type="pct"/>
          </w:tcPr>
          <w:p w:rsidR="009576F1" w:rsidRPr="00DE70D1" w:rsidRDefault="009576F1" w:rsidP="00F938A8">
            <w:pPr>
              <w:tabs>
                <w:tab w:val="left" w:pos="372"/>
              </w:tabs>
              <w:ind w:right="57"/>
              <w:jc w:val="both"/>
              <w:rPr>
                <w:rFonts w:ascii="Times New Roman" w:hAnsi="Times New Roman" w:cs="Times New Roman"/>
                <w:color w:val="000000" w:themeColor="text1"/>
                <w:sz w:val="28"/>
                <w:szCs w:val="28"/>
                <w:u w:val="single"/>
              </w:rPr>
            </w:pPr>
            <w:r w:rsidRPr="00DE70D1">
              <w:rPr>
                <w:rFonts w:ascii="Times New Roman" w:hAnsi="Times New Roman" w:cs="Times New Roman"/>
                <w:color w:val="000000" w:themeColor="text1"/>
                <w:sz w:val="28"/>
                <w:szCs w:val="28"/>
              </w:rPr>
              <w:t>Підвищення коефіцієнту фондовіддачі з 0,34 до 0,40 засвідчує про:</w:t>
            </w:r>
            <w:r w:rsidRPr="00DE70D1">
              <w:rPr>
                <w:rFonts w:ascii="Times New Roman" w:hAnsi="Times New Roman" w:cs="Times New Roman"/>
                <w:color w:val="000000" w:themeColor="text1"/>
                <w:sz w:val="28"/>
                <w:szCs w:val="28"/>
                <w:u w:val="single"/>
              </w:rPr>
              <w:t xml:space="preserve"> </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6.</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 оборотних коштів підприємства не відносяться: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 фондів обігу підприємства не відносяться: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Оборотні кошти, які не підлягають нормуванню:</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Період часу між оплатою та надходженням матеріалів та сировини на підприємство:</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Період часу необхідний для прийняття матеріалів та сировини на склад підприємства:</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Період часу, який дорівнює половині інтервалу між поставками матеріалів та сировини:</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Норматив оборотних коштів у незавершеному виробництві не залежить від:</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Норматив оборотних коштів у залишках готової продукції на складах підприємства не залежить від:</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Норма запасу матеріалів та сировини, що створюється з метою запобігання зупинки виробництва у разі зриву поставок:</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Середній залишок оборотних коштів на підприємстві за рік розраховується як:</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що показує скільки разів за період оборотні кошти підприємства обертаються: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Тривалість одного обороту оборотних коштів підприємства розраховується як відношення: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Коефіцієнт оборотності розраховується як відношення: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proofErr w:type="spellStart"/>
            <w:r w:rsidRPr="00DE70D1">
              <w:rPr>
                <w:rFonts w:ascii="Times New Roman" w:hAnsi="Times New Roman" w:cs="Times New Roman"/>
                <w:iCs/>
                <w:color w:val="000000" w:themeColor="text1"/>
                <w:sz w:val="28"/>
                <w:szCs w:val="28"/>
                <w:lang w:val="ru-RU"/>
              </w:rPr>
              <w:t>Економіка</w:t>
            </w:r>
            <w:proofErr w:type="spellEnd"/>
            <w:r w:rsidRPr="00DE70D1">
              <w:rPr>
                <w:rFonts w:ascii="Times New Roman" w:hAnsi="Times New Roman" w:cs="Times New Roman"/>
                <w:iCs/>
                <w:color w:val="000000" w:themeColor="text1"/>
                <w:sz w:val="28"/>
                <w:szCs w:val="28"/>
                <w:lang w:val="ru-RU"/>
              </w:rPr>
              <w:t xml:space="preserve"> </w:t>
            </w:r>
            <w:proofErr w:type="spellStart"/>
            <w:r w:rsidRPr="00DE70D1">
              <w:rPr>
                <w:rFonts w:ascii="Times New Roman" w:hAnsi="Times New Roman" w:cs="Times New Roman"/>
                <w:iCs/>
                <w:color w:val="000000" w:themeColor="text1"/>
                <w:sz w:val="28"/>
                <w:szCs w:val="28"/>
                <w:lang w:val="ru-RU"/>
              </w:rPr>
              <w:t>це</w:t>
            </w:r>
            <w:proofErr w:type="spellEnd"/>
            <w:r w:rsidRPr="00DE70D1">
              <w:rPr>
                <w:rFonts w:ascii="Times New Roman" w:hAnsi="Times New Roman" w:cs="Times New Roman"/>
                <w:iCs/>
                <w:color w:val="000000" w:themeColor="text1"/>
                <w:sz w:val="28"/>
                <w:szCs w:val="28"/>
                <w:lang w:val="ru-RU"/>
              </w:rPr>
              <w:t xml:space="preserve"> …</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ind w:left="280" w:hanging="28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Економіка підприємства є наукою:</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ind w:left="57" w:right="57"/>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Об’єктом вивчення навчальної дисципліни «Економіка підприємства» є:</w:t>
            </w:r>
          </w:p>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ind w:left="57" w:right="57"/>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Термін «економіка» дослівно з грецької мови означає:</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Нематеріальні активи підприємства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Нове художньо-конструктивне вирішення виробу, в якому досягається єдність технічних та естетичних властивостей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 xml:space="preserve">Інформація, яка має реальну або потенційну комерційну цінність для виробництва, до- та </w:t>
            </w:r>
            <w:proofErr w:type="spellStart"/>
            <w:r w:rsidRPr="00DE70D1">
              <w:rPr>
                <w:rFonts w:ascii="Times New Roman" w:hAnsi="Times New Roman" w:cs="Times New Roman"/>
                <w:color w:val="000000" w:themeColor="text1"/>
                <w:sz w:val="28"/>
                <w:szCs w:val="28"/>
              </w:rPr>
              <w:t>післяпродажного</w:t>
            </w:r>
            <w:proofErr w:type="spellEnd"/>
            <w:r w:rsidRPr="00DE70D1">
              <w:rPr>
                <w:rFonts w:ascii="Times New Roman" w:hAnsi="Times New Roman" w:cs="Times New Roman"/>
                <w:color w:val="000000" w:themeColor="text1"/>
                <w:sz w:val="28"/>
                <w:szCs w:val="28"/>
              </w:rPr>
              <w:t xml:space="preserve"> обслуговування й експлуатації продукції у всіх галузях господарської діяльності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Дозвіл на використання нематеріального ресурсу протягом певного терміну за обумовлену винагороду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DE70D1">
              <w:rPr>
                <w:rFonts w:ascii="Times New Roman" w:hAnsi="Times New Roman" w:cs="Times New Roman"/>
                <w:color w:val="000000" w:themeColor="text1"/>
                <w:sz w:val="28"/>
                <w:szCs w:val="28"/>
              </w:rPr>
              <w:t>9.</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w:t>
            </w:r>
            <w:r w:rsidRPr="00DE70D1">
              <w:rPr>
                <w:rFonts w:ascii="Times New Roman" w:hAnsi="Times New Roman" w:cs="Times New Roman"/>
                <w:color w:val="000000" w:themeColor="text1"/>
                <w:sz w:val="28"/>
                <w:szCs w:val="28"/>
              </w:rPr>
              <w:t>0.</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Право власності на промислові зразки засвідчується:</w:t>
            </w:r>
          </w:p>
        </w:tc>
      </w:tr>
    </w:tbl>
    <w:p w:rsidR="000A3FDD" w:rsidRPr="00534C8D" w:rsidRDefault="000A3FDD" w:rsidP="00F02FED">
      <w:pPr>
        <w:spacing w:after="0" w:line="240" w:lineRule="auto"/>
        <w:rPr>
          <w:rFonts w:ascii="Times New Roman" w:hAnsi="Times New Roman" w:cs="Times New Roman"/>
          <w:sz w:val="28"/>
          <w:szCs w:val="28"/>
        </w:rPr>
      </w:pPr>
    </w:p>
    <w:sectPr w:rsidR="000A3FDD" w:rsidRPr="00534C8D" w:rsidSect="00DE70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9">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3">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
  </w:num>
  <w:num w:numId="4">
    <w:abstractNumId w:val="12"/>
  </w:num>
  <w:num w:numId="5">
    <w:abstractNumId w:val="7"/>
  </w:num>
  <w:num w:numId="6">
    <w:abstractNumId w:val="4"/>
  </w:num>
  <w:num w:numId="7">
    <w:abstractNumId w:val="9"/>
  </w:num>
  <w:num w:numId="8">
    <w:abstractNumId w:val="3"/>
  </w:num>
  <w:num w:numId="9">
    <w:abstractNumId w:val="6"/>
  </w:num>
  <w:num w:numId="10">
    <w:abstractNumId w:val="5"/>
  </w:num>
  <w:num w:numId="11">
    <w:abstractNumId w:val="13"/>
  </w:num>
  <w:num w:numId="12">
    <w:abstractNumId w:val="2"/>
  </w:num>
  <w:num w:numId="13">
    <w:abstractNumId w:val="8"/>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61D4"/>
    <w:rsid w:val="00033DC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E0F61"/>
    <w:rsid w:val="000F149B"/>
    <w:rsid w:val="000F710F"/>
    <w:rsid w:val="00100E79"/>
    <w:rsid w:val="00102737"/>
    <w:rsid w:val="00110470"/>
    <w:rsid w:val="00111EB3"/>
    <w:rsid w:val="00115440"/>
    <w:rsid w:val="00122295"/>
    <w:rsid w:val="00127B07"/>
    <w:rsid w:val="0017126F"/>
    <w:rsid w:val="00177885"/>
    <w:rsid w:val="00177E00"/>
    <w:rsid w:val="0018258D"/>
    <w:rsid w:val="00185DF8"/>
    <w:rsid w:val="0019019C"/>
    <w:rsid w:val="00193CF7"/>
    <w:rsid w:val="001A7C7D"/>
    <w:rsid w:val="001B5612"/>
    <w:rsid w:val="001C0647"/>
    <w:rsid w:val="001C5016"/>
    <w:rsid w:val="001D2224"/>
    <w:rsid w:val="001E3A70"/>
    <w:rsid w:val="001E468C"/>
    <w:rsid w:val="001E66F8"/>
    <w:rsid w:val="001F1278"/>
    <w:rsid w:val="001F63CF"/>
    <w:rsid w:val="00220637"/>
    <w:rsid w:val="00231F16"/>
    <w:rsid w:val="002329A3"/>
    <w:rsid w:val="0023451F"/>
    <w:rsid w:val="002551A4"/>
    <w:rsid w:val="00256980"/>
    <w:rsid w:val="002636B3"/>
    <w:rsid w:val="002752EF"/>
    <w:rsid w:val="002838B6"/>
    <w:rsid w:val="00287A12"/>
    <w:rsid w:val="00293AC3"/>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7D53"/>
    <w:rsid w:val="00417EBE"/>
    <w:rsid w:val="004205BA"/>
    <w:rsid w:val="0042457E"/>
    <w:rsid w:val="004268EE"/>
    <w:rsid w:val="004306E3"/>
    <w:rsid w:val="00437558"/>
    <w:rsid w:val="004474F3"/>
    <w:rsid w:val="00460A96"/>
    <w:rsid w:val="004722BB"/>
    <w:rsid w:val="004757EC"/>
    <w:rsid w:val="004833C1"/>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82BDA"/>
    <w:rsid w:val="0059149C"/>
    <w:rsid w:val="005918CC"/>
    <w:rsid w:val="00591BC8"/>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8685D"/>
    <w:rsid w:val="006947DC"/>
    <w:rsid w:val="006A52DB"/>
    <w:rsid w:val="006B732C"/>
    <w:rsid w:val="006D0E72"/>
    <w:rsid w:val="006D28C8"/>
    <w:rsid w:val="006D73DF"/>
    <w:rsid w:val="006E2FEF"/>
    <w:rsid w:val="006F19A8"/>
    <w:rsid w:val="006F75C8"/>
    <w:rsid w:val="0072322A"/>
    <w:rsid w:val="00741DEA"/>
    <w:rsid w:val="007622BC"/>
    <w:rsid w:val="00763FA9"/>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3EAC"/>
    <w:rsid w:val="00875E9E"/>
    <w:rsid w:val="008800E1"/>
    <w:rsid w:val="00885802"/>
    <w:rsid w:val="00887ECD"/>
    <w:rsid w:val="00891D3B"/>
    <w:rsid w:val="00894055"/>
    <w:rsid w:val="008945C5"/>
    <w:rsid w:val="00897E5E"/>
    <w:rsid w:val="008A27B5"/>
    <w:rsid w:val="008A4607"/>
    <w:rsid w:val="008A7344"/>
    <w:rsid w:val="008C4A52"/>
    <w:rsid w:val="008C602E"/>
    <w:rsid w:val="008C6052"/>
    <w:rsid w:val="008D1D41"/>
    <w:rsid w:val="008D2EDD"/>
    <w:rsid w:val="008E1801"/>
    <w:rsid w:val="008F4CB5"/>
    <w:rsid w:val="00900D95"/>
    <w:rsid w:val="00901DA2"/>
    <w:rsid w:val="00911AEB"/>
    <w:rsid w:val="00917316"/>
    <w:rsid w:val="00920324"/>
    <w:rsid w:val="00934343"/>
    <w:rsid w:val="0094422C"/>
    <w:rsid w:val="00950453"/>
    <w:rsid w:val="009576F1"/>
    <w:rsid w:val="00957F7C"/>
    <w:rsid w:val="009622A7"/>
    <w:rsid w:val="00964B72"/>
    <w:rsid w:val="00986D90"/>
    <w:rsid w:val="009968A1"/>
    <w:rsid w:val="009A3A03"/>
    <w:rsid w:val="009B30B0"/>
    <w:rsid w:val="009C2323"/>
    <w:rsid w:val="009D74A9"/>
    <w:rsid w:val="00A02DF1"/>
    <w:rsid w:val="00A10BFD"/>
    <w:rsid w:val="00A131C5"/>
    <w:rsid w:val="00A14346"/>
    <w:rsid w:val="00A24ACE"/>
    <w:rsid w:val="00A31191"/>
    <w:rsid w:val="00A36698"/>
    <w:rsid w:val="00A432F3"/>
    <w:rsid w:val="00A976AC"/>
    <w:rsid w:val="00AA7934"/>
    <w:rsid w:val="00AF3275"/>
    <w:rsid w:val="00B03FE9"/>
    <w:rsid w:val="00B1236B"/>
    <w:rsid w:val="00B13EF2"/>
    <w:rsid w:val="00B26615"/>
    <w:rsid w:val="00B41883"/>
    <w:rsid w:val="00B617CB"/>
    <w:rsid w:val="00B82C48"/>
    <w:rsid w:val="00B8470A"/>
    <w:rsid w:val="00B9175C"/>
    <w:rsid w:val="00BA018F"/>
    <w:rsid w:val="00BB2A30"/>
    <w:rsid w:val="00BB3633"/>
    <w:rsid w:val="00BB6D06"/>
    <w:rsid w:val="00BC2FA9"/>
    <w:rsid w:val="00BC7FC0"/>
    <w:rsid w:val="00BD0734"/>
    <w:rsid w:val="00BD4295"/>
    <w:rsid w:val="00C04482"/>
    <w:rsid w:val="00C114A1"/>
    <w:rsid w:val="00C2275D"/>
    <w:rsid w:val="00C434D7"/>
    <w:rsid w:val="00C470FE"/>
    <w:rsid w:val="00C57551"/>
    <w:rsid w:val="00C666F0"/>
    <w:rsid w:val="00C7794F"/>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DE70D1"/>
    <w:rsid w:val="00E01E40"/>
    <w:rsid w:val="00E02F57"/>
    <w:rsid w:val="00E600CF"/>
    <w:rsid w:val="00E7084E"/>
    <w:rsid w:val="00E72DCE"/>
    <w:rsid w:val="00E73910"/>
    <w:rsid w:val="00E80966"/>
    <w:rsid w:val="00E82128"/>
    <w:rsid w:val="00EA5F6C"/>
    <w:rsid w:val="00EA6AF1"/>
    <w:rsid w:val="00EC0575"/>
    <w:rsid w:val="00EE11A7"/>
    <w:rsid w:val="00EE4E6E"/>
    <w:rsid w:val="00EE733D"/>
    <w:rsid w:val="00F02FED"/>
    <w:rsid w:val="00F06668"/>
    <w:rsid w:val="00F27A61"/>
    <w:rsid w:val="00F32AA7"/>
    <w:rsid w:val="00F3740B"/>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C9A0E-E099-4944-A366-A58ADEC6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21838</Words>
  <Characters>12449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логотоп</cp:lastModifiedBy>
  <cp:revision>4</cp:revision>
  <dcterms:created xsi:type="dcterms:W3CDTF">2019-10-04T20:12:00Z</dcterms:created>
  <dcterms:modified xsi:type="dcterms:W3CDTF">2019-10-05T20:21:00Z</dcterms:modified>
</cp:coreProperties>
</file>