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fonts/font36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1"/>
        <w:keepNext w:val="false"/>
        <w:keepLines w:val="false"/>
        <w:pageBreakBefore w:val="false"/>
        <w:widowControl w:val="false"/>
        <w:pBdr/>
        <w:shd w:val="clear" w:fill="auto"/>
        <w:spacing w:lineRule="auto" w:line="276" w:before="0" w:after="0"/>
        <w:ind w:hanging="0" w:left="0" w:right="0"/>
        <w:jc w:val="left"/>
        <w:rPr>
          <w:rFonts w:ascii="Arial" w:hAnsi="Arial" w:eastAsia="Arial" w:cs="Arial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shd w:fill="auto" w:val="clear"/>
          <w:vertAlign w:val="baseline"/>
        </w:rPr>
      </w:pPr>
      <w:r>
        <w:rPr>
          <w:rFonts w:eastAsia="Arial" w:cs="Arial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shd w:fill="auto" w:val="clear"/>
          <w:vertAlign w:val="baseline"/>
        </w:rPr>
      </w:r>
    </w:p>
    <w:tbl>
      <w:tblPr>
        <w:tblStyle w:val="Table1"/>
        <w:tblW w:w="1555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188"/>
        <w:gridCol w:w="487"/>
        <w:gridCol w:w="12879"/>
      </w:tblGrid>
      <w:tr>
        <w:trPr>
          <w:trHeight w:val="959" w:hRule="atLeast"/>
        </w:trPr>
        <w:tc>
          <w:tcPr>
            <w:tcW w:w="2188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fill="E6E6E6" w:val="clear"/>
            <w:vAlign w:val="cente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0" w:leader="none"/>
              </w:tabs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Тема 5.</w:t>
            </w:r>
          </w:p>
        </w:tc>
        <w:tc>
          <w:tcPr>
            <w:tcW w:w="487" w:type="dxa"/>
            <w:tcBorders>
              <w:left w:val="single" w:sz="24" w:space="0" w:color="000000"/>
              <w:right w:val="single" w:sz="2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0" w:leader="none"/>
              </w:tabs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  <w:tc>
          <w:tcPr>
            <w:tcW w:w="12879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fill="E6E6E6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0" w:leader="none"/>
              </w:tabs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10"/>
                <w:sz w:val="10"/>
                <w:szCs w:val="10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10"/>
                <w:sz w:val="10"/>
                <w:szCs w:val="10"/>
                <w:u w:val="none"/>
                <w:shd w:fill="auto" w:val="clear"/>
                <w:vertAlign w:val="baseline"/>
              </w:rPr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0" w:leader="none"/>
              </w:tabs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Ризик і ціна капіталу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0" w:leader="none"/>
              </w:tabs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(лекція – 4 год., практика – 4 год.)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 w:val="false"/>
        <w:pBdr/>
        <w:shd w:val="clear" w:fill="FFFFFF"/>
        <w:tabs>
          <w:tab w:val="clear" w:pos="720"/>
          <w:tab w:val="left" w:pos="6835" w:leader="none"/>
        </w:tabs>
        <w:spacing w:lineRule="auto" w:line="288" w:before="0" w:after="0"/>
        <w:ind w:firstLine="709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 w:val="false"/>
        <w:pBdr/>
        <w:shd w:val="clear" w:fill="FFFFFF"/>
        <w:tabs>
          <w:tab w:val="clear" w:pos="720"/>
          <w:tab w:val="left" w:pos="6835" w:leader="none"/>
        </w:tabs>
        <w:spacing w:lineRule="auto" w:line="288" w:before="0" w:after="0"/>
        <w:ind w:firstLine="557" w:left="0" w:right="0"/>
        <w:jc w:val="both"/>
        <w:rPr>
          <w:rFonts w:ascii="Bookman Old Style" w:hAnsi="Bookman Old Style" w:eastAsia="Bookman Old Style" w:cs="Bookman Old Styl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Bookman Old Style" w:cs="Bookman Old Style" w:ascii="Bookman Old Style" w:hAnsi="Bookman Old Style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3.1. План лекції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1. Поняття та класифікація фінансових ризиків.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2. Методи оцінювання ризику на фінансовому ринку.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3. Методи управління фінансовими ризиками.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4. Ціноутворення на фінансовому ринку.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5. Майбутня та поточна вартість фінансових інструментів.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both"/>
        <w:rPr>
          <w:rFonts w:ascii="Bookman Old Style" w:hAnsi="Bookman Old Style" w:eastAsia="Bookman Old Style" w:cs="Bookman Old Styl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1. ПОНЯТТЯ ТА КЛАСИФІКАЦІЯ ФІНАНСОВИХ РИЗИКІВ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Ризик як економічна категорія виник з появою товарно-грошових відносин і відображає подію, яка може відбутися чи ні. До того ж, для події, що відбулася, можливі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3 варіанти економічного результату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tbl>
      <w:tblPr>
        <w:tblStyle w:val="Table2"/>
        <w:tblW w:w="8928" w:type="dxa"/>
        <w:jc w:val="left"/>
        <w:tblInd w:w="270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988"/>
        <w:gridCol w:w="3059"/>
        <w:gridCol w:w="2881"/>
      </w:tblGrid>
      <w:tr>
        <w:trPr/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позитивний</w:t>
            </w:r>
          </w:p>
        </w:tc>
        <w:tc>
          <w:tcPr>
            <w:tcW w:w="3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нульовий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негативний</w:t>
            </w:r>
          </w:p>
        </w:tc>
      </w:tr>
      <w:tr>
        <w:trPr/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(вигода, прибуток)</w:t>
            </w:r>
          </w:p>
        </w:tc>
        <w:tc>
          <w:tcPr>
            <w:tcW w:w="3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(результат не змінюється)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(збиток, втрата)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Кожен ризик має певні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критерії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свого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існування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, а саме: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216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1) повинен бути можливим;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216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2) повинен мати випадковий характер;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216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3) факт реалізації невідомий у часі та просторі;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216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4) наслідки реалізації повинні бути об‘єктивно виміряні та оцінені.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Зрозуміло, що перед СГД стоїть задача попередження, компенсації та ліквідації будь-яких ризиків, що можливо досяги за допомогою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антиризиковою діяльністю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Антиризикова діяльність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діяльність спрямована на попередженні, компенсації та ліквідації ризиків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bookmarkStart w:id="0" w:name="_gjdgxs"/>
      <w:bookmarkEnd w:id="0"/>
      <w:r>
        <w:rPr/>
        <w:drawing>
          <wp:inline distT="0" distB="0" distL="0" distR="0">
            <wp:extent cx="4889500" cy="1308100"/>
            <wp:effectExtent l="0" t="0" r="0" b="0"/>
            <wp:docPr id="1" name="image23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3.pn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130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Операції з фінансовими інструментами завжди пов‘язані з ризиком, а саме з фінансовим ризиком.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Фінансовий ризик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ризик не отримати задовільний фінансовий результат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Оскільки прибуток є основним фінансовим результатом будь-якої підприємницької діяльності, то фінансовий ризик можна трактувати як невизначеність в отриманні майбутніх прибутків.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Фінансові ризики насамперед пов‘язані зі змінами на фінансовому ринку та змінами в економіці (це можуть бути зміни процентних ставок, валютних курсів, зміни в діяльності галузей господарства чи в діяльності конкретних позичальників).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У цілому фінансовий ризик можна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КЛАСИФІКУВАТИ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за наступними ознаками: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а) за величиною</w:t>
      </w:r>
    </w:p>
    <w:tbl>
      <w:tblPr>
        <w:tblStyle w:val="Table3"/>
        <w:tblW w:w="9828" w:type="dxa"/>
        <w:jc w:val="left"/>
        <w:tblInd w:w="144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4067"/>
        <w:gridCol w:w="5760"/>
      </w:tblGrid>
      <w:tr>
        <w:trPr/>
        <w:tc>
          <w:tcPr>
            <w:tcW w:w="4067" w:type="dxa"/>
            <w:tcBorders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– 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високий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– 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середній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– 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низький</w:t>
            </w:r>
          </w:p>
        </w:tc>
        <w:tc>
          <w:tcPr>
            <w:tcW w:w="5760" w:type="dxa"/>
            <w:tcBorders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bookmarkStart w:id="1" w:name="_30j0zll"/>
            <w:bookmarkEnd w:id="1"/>
            <w:r>
              <w:rPr/>
              <w:drawing>
                <wp:inline distT="0" distB="0" distL="0" distR="0">
                  <wp:extent cx="3022600" cy="2044700"/>
                  <wp:effectExtent l="0" t="0" r="0" b="0"/>
                  <wp:docPr id="2" name="image27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7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600" cy="2044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б) за ступенем допустимості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допустимий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(пов’язаний із втратою прибутку у разі нереалізації рішень, втрата частини доходу)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критичний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(пов’язаний з можливістю неотримання (втрати) доходу, повністю втрачається дохіді виникає необхідність для відшкодування цих втрат)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катастрофічний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(впливає на ліквідацію позицій фірми, на її платоспроможність; такий ризик є прямою передумовою банкрутства фірми, так як втрачається повністю все майно)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в) за об‘єктами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ризик підприємця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ризик банку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ризик СК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ризики окремих юридичних та фізичних осіб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г) за видами діяльності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виробничий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посередницький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торгівельний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транспортний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консалтинговий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страховий тощо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д) за економічним змістом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чистий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(передбачає відсутність збитків або отримання збитку)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спекулятивний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(передбачає відсутність прибутку, збитку (нульового результату), або отримання прибутку, або збитків)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е) за характером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операційний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(неправильна організація, помилка у виборі методу чи іншої фінансової операції)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інфляційний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(залежить від ступеня точності прогнозування та впливу  інфляції на результат діяльності)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кредитний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(непогашення кредиту чи несплати відсотків за ним)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процентний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(зміна ставок за кредитними ресурсами)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валютний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(зміна курсів валют)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є) за галузевою і територіальною ознакою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загальноекономічні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(зміни в економіці, валютній політиці, рівні інфляції, ВВП тощо)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галузеві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(пов‘язані зі специфікою кожної галузі)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регіональні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(пов‘язані зі специфікою спрямованості кожного регіону)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країни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(політичні, економічні ризики)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і) за систематичністю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систематичні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(пов‘язані з економічною а політичною ситуаціями в країні та світі: ризик зміни відсоткової ставки, ризик падіння загальноринкових цін, ризик інфляції тощо)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–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несистематичні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(пов‘язані з фінансовим станом конкретного емітента ЦП: ризик ліквідності (можливість втрат при реалізації ЦП через зміни оцінки його якості), галузевий ризик)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й)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селективний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ризик неправильного вибору ЦП для інвестування при формуванні портфеля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 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часовий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ризик емісії, купівлі/продажу ЦП в невідповідний час, що тягне за собою втрати.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Причини виникнення фінансового ризику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1) слабка і нестабільна економіка країни;</w:t>
        <w:tab/>
        <w:tab/>
        <w:tab/>
        <w:tab/>
        <w:t>6) інфляція;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2) зростання витрат на підприємстві;</w:t>
        <w:tab/>
        <w:tab/>
        <w:tab/>
        <w:tab/>
        <w:tab/>
        <w:t>7) незадовільне керівництво фінансовою політикою підприємства;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3) зниження цін на світовому ринку;</w:t>
        <w:tab/>
        <w:tab/>
        <w:tab/>
        <w:tab/>
        <w:tab/>
        <w:t>8) конкурентна боротьба;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4) економічна криза;</w:t>
        <w:tab/>
        <w:tab/>
        <w:tab/>
        <w:tab/>
        <w:tab/>
        <w:tab/>
        <w:tab/>
        <w:t>9) політичні фактори;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5) державне регулювання банківської облікової ставки</w:t>
        <w:tab/>
        <w:tab/>
        <w:t>10) суттєві коливання обмінних курсів валют;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ab/>
        <w:tab/>
        <w:tab/>
        <w:tab/>
        <w:tab/>
        <w:tab/>
        <w:tab/>
        <w:tab/>
        <w:tab/>
        <w:tab/>
        <w:t>тощо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2. МЕТОДИ ОЦІНЮВАННЯ РИЗИКУ НА ФІНАНСОВОМУ РИНКУ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Щоб кількісно визначити величину фінансового ринку, необхідно знати всі можливі наслідки будь-якої окремої дії та ймовірності самих наслідків. У статистичному аналізі величина ризику вимірюється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двома критеріями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середньо очікуваним значенням (дисперсією)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56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Для остаточного прийняття рішення необхідно виміряти змінність показників, тобто визначити міру змінності можливого результату (ступінь відхилення очікуваного значення від середньої величини). Для цього розраховується середнє квадратичне відхилення: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hanging="0" w:left="567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939800" cy="647700"/>
            <wp:effectExtent l="0" t="0" r="0" b="0"/>
            <wp:docPr id="3" name="image30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0.pn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або </w:t>
      </w:r>
      <w:r>
        <w:rPr/>
        <w:drawing>
          <wp:inline distT="0" distB="0" distL="0" distR="0">
            <wp:extent cx="977900" cy="698500"/>
            <wp:effectExtent l="0" t="0" r="0" b="0"/>
            <wp:docPr id="4" name="image18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8.pn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69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, де </w:t>
      </w:r>
      <w:r>
        <w:rPr/>
        <w:drawing>
          <wp:inline distT="0" distB="0" distL="0" distR="0">
            <wp:extent cx="215900" cy="203200"/>
            <wp:effectExtent l="0" t="0" r="0" b="0"/>
            <wp:docPr id="5" name="image26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6.pn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0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дисперсія, </w:t>
      </w:r>
      <w:r>
        <w:rPr/>
        <w:drawing>
          <wp:inline distT="0" distB="0" distL="0" distR="0">
            <wp:extent cx="127000" cy="139700"/>
            <wp:effectExtent l="0" t="0" r="0" b="0"/>
            <wp:docPr id="6" name="image28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8.pn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3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очікуване значення для кожного випадку вкладення фінансових ресурсів, </w:t>
      </w:r>
      <w:r>
        <w:rPr/>
        <w:drawing>
          <wp:inline distT="0" distB="0" distL="0" distR="0">
            <wp:extent cx="127000" cy="279400"/>
            <wp:effectExtent l="0" t="0" r="0" b="0"/>
            <wp:docPr id="7" name="image2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1.pn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27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середнє очікуване значення, </w:t>
      </w:r>
      <w:r>
        <w:rPr/>
        <w:drawing>
          <wp:inline distT="0" distB="0" distL="0" distR="0">
            <wp:extent cx="127000" cy="139700"/>
            <wp:effectExtent l="0" t="0" r="0" b="0"/>
            <wp:docPr id="8" name="image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3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кількість вкладень фінансових ресурсів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коливанням (варіацією можливого результату)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 допомогою коефіцієнта варіації є можливість порівняти змінність ознак,, виражених у різних одиницях виміру: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762000" cy="469900"/>
            <wp:effectExtent l="0" t="0" r="0" b="0"/>
            <wp:docPr id="9" name="image12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2.pn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46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, де </w:t>
      </w:r>
      <w:r>
        <w:rPr/>
        <w:drawing>
          <wp:inline distT="0" distB="0" distL="0" distR="0">
            <wp:extent cx="152400" cy="139700"/>
            <wp:effectExtent l="0" t="0" r="0" b="0"/>
            <wp:docPr id="10" name="image22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2.pn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3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середнє квадратичне відхилення, </w:t>
      </w:r>
      <w:r>
        <w:rPr/>
        <w:drawing>
          <wp:inline distT="0" distB="0" distL="0" distR="0">
            <wp:extent cx="127000" cy="279400"/>
            <wp:effectExtent l="0" t="0" r="0" b="0"/>
            <wp:docPr id="11" name="image4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4.pn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27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середнє очікуване значення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Коефіцієнт варіації може змінюватися від 1 до 100%. Чим вищий цей коефіцієнт, тим сильніші коливання: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до 10% – слабкі коливання фінансового ризику вкладень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10-25% – середні, помірні коливання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&gt;25% – високі коливання.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Застосовуються й інші аналітичні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МЕТОДИ ОЦІНЮВАННЯ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фінансового ризику. Найперспективнішим з них є факторний аналіз фінансових ризиків. А також використовуються: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метод експертних оцінок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(складання порівняльних характеристик рівнів ризику, визначення рейтингів, підготовка аналітичних експертних оглядів)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економіко-математичне моделювання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(правильний вибір моделі)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комп‘ютерна імітація ризику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метод соціально-економічного експерименту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(проведення окремих експериментів за типовими фінансовими ситуаціями)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hanging="360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метод аналогій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(на основі практичного досвіду інших підприємств оцінюється ймовірність настання певних подій, отримання конкретного фінансового результату)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Оцінювання ризику ґрунтується на поєднанні наукових методик та інтуїції експертів, аналітиків.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3. МЕТОДИ УПРАВЛІННЯ ФІНАНСОВИМИ РИЗИКАМИ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Для зниження ступеня фінансового ризику застосовуються різні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СПОСОБИ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firstLine="2673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диверсифікація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firstLine="2673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лімітування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firstLine="2673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страхування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288" w:before="0" w:after="0"/>
        <w:ind w:firstLine="2673" w:left="927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придбання додаткової інформації тощо</w:t>
      </w:r>
    </w:p>
    <w:tbl>
      <w:tblPr>
        <w:tblStyle w:val="Table4"/>
        <w:tblW w:w="15694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5231"/>
        <w:gridCol w:w="5231"/>
        <w:gridCol w:w="5232"/>
      </w:tblGrid>
      <w:tr>
        <w:trPr/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Диверсифікація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Лімітування</w:t>
            </w:r>
          </w:p>
        </w:tc>
        <w:tc>
          <w:tcPr>
            <w:tcW w:w="5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Страхування</w:t>
            </w:r>
          </w:p>
        </w:tc>
      </w:tr>
      <w:tr>
        <w:trPr/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Розподіл інвестованих коштів між різними об‘єктами вкладення, які безпосередньо не пов‘язані між собою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Встановлення ліміту, тобто граничних сум витрат, продаж, кредиту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Використовується: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– 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банками при наданні кредиту СГД при продажу товарів у кредит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– 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інвесторами при визначенні суми вкладення капіталу</w:t>
            </w:r>
          </w:p>
        </w:tc>
        <w:tc>
          <w:tcPr>
            <w:tcW w:w="5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Інвестор готовий відмовитися від частки прибутку, тільки б уникнути ризику, тобто він готовий заплатити за зниження ступеня ризику до нуля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Система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управління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ризиками включає наступні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ЕТАПИ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9"/>
        </w:numPr>
        <w:pBdr/>
        <w:shd w:val="clear" w:fill="auto"/>
        <w:tabs>
          <w:tab w:val="left" w:pos="720" w:leader="none"/>
          <w:tab w:val="left" w:pos="900" w:leader="none"/>
        </w:tabs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ідентифікація ризику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встановлення переліку основних видів фінансових ризиків, що притаманні діяльності конкретного підприємства чи конкретній фінансовій операції;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9"/>
        </w:numPr>
        <w:pBdr/>
        <w:shd w:val="clear" w:fill="auto"/>
        <w:tabs>
          <w:tab w:val="left" w:pos="720" w:leader="none"/>
          <w:tab w:val="left" w:pos="900" w:leader="none"/>
        </w:tabs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оцінка ризику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–відображення наслідків впливу ризику на ймовірності їх настання в кількісному виразі;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9"/>
        </w:numPr>
        <w:pBdr/>
        <w:shd w:val="clear" w:fill="auto"/>
        <w:tabs>
          <w:tab w:val="left" w:pos="720" w:leader="none"/>
          <w:tab w:val="left" w:pos="900" w:leader="none"/>
        </w:tabs>
        <w:spacing w:lineRule="auto" w:line="288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нейтралізація ризику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– вжиття заходів щодо зменшення ймовірності настання ризику і зменшення наслідків їх впливу.</w:t>
      </w:r>
    </w:p>
    <w:tbl>
      <w:tblPr>
        <w:tblStyle w:val="Table5"/>
        <w:tblW w:w="15685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5867"/>
        <w:gridCol w:w="5231"/>
        <w:gridCol w:w="4587"/>
      </w:tblGrid>
      <w:tr>
        <w:trPr/>
        <w:tc>
          <w:tcPr>
            <w:tcW w:w="5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ідентифікація ризику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оцінка ризику</w:t>
            </w:r>
          </w:p>
        </w:tc>
        <w:tc>
          <w:tcPr>
            <w:tcW w:w="4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нейтралізація ризику</w:t>
            </w:r>
          </w:p>
        </w:tc>
      </w:tr>
      <w:tr>
        <w:trPr/>
        <w:tc>
          <w:tcPr>
            <w:tcW w:w="5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  <w:t>1-а стадія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складання переліку можливих несистематичних ризиків підприємства, які притаманні кожному з напрямку його діяльності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(господарські, інвестиційні, фінансові)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  <w:t>2-а стадія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визначення переліку систематичних ризиків пов‘язаних з господарською діяльністю підприємства в цілому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  <w:t>3-тя стадія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Формування портфеля фінансових ризиків</w:t>
            </w:r>
          </w:p>
        </w:tc>
        <w:tc>
          <w:tcPr>
            <w:tcW w:w="5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базовими величинами, що розраховуються є величина збитків, яких може зазнати підприємство та ймовірність настання цих збитків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для визначення цих величин використовуються складні алгоритми розрахунків</w:t>
            </w:r>
          </w:p>
        </w:tc>
        <w:tc>
          <w:tcPr>
            <w:tcW w:w="4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до інструментів відносяться: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"/>
              </w:numPr>
              <w:pBdr/>
              <w:shd w:val="clear" w:fill="auto"/>
              <w:spacing w:lineRule="auto" w:line="288" w:before="0" w:after="0"/>
              <w:ind w:hanging="360" w:left="927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диверсифікація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"/>
              </w:numPr>
              <w:pBdr/>
              <w:shd w:val="clear" w:fill="auto"/>
              <w:spacing w:lineRule="auto" w:line="288" w:before="0" w:after="0"/>
              <w:ind w:hanging="360" w:left="927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страхування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"/>
              </w:numPr>
              <w:pBdr/>
              <w:shd w:val="clear" w:fill="auto"/>
              <w:spacing w:lineRule="auto" w:line="288" w:before="0" w:after="0"/>
              <w:ind w:hanging="360" w:left="927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формування відповідних резервів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"/>
              </w:numPr>
              <w:pBdr/>
              <w:shd w:val="clear" w:fill="auto"/>
              <w:spacing w:lineRule="auto" w:line="288" w:before="0" w:after="0"/>
              <w:ind w:hanging="360" w:left="927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хеджування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Найпоширенішим інструментом нейтралізації наслідків настання ризику є використання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резервного фонду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фінансових ресурсів, що призначається для покриття можливих збитків.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Резерви створюються відповідно до чинного законодавства або установчих документів підприємств за рахунок нерозподіленого прибутку або коштів власників.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Розмір фонду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не може бути меншим ніж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25% статутного капіталу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підприємства, 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розмір щорічних відрахувань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до резервного фонду не може бути меншими ніж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5% суми чистого прибутку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підприємства.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Хеджування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–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метод страхування цінового ризику за угодами на біржі (товарній, фондовій)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Механізм хеджування ризиків полягає у здійсненні зустрічних операцій з купівлі/продажу активів (фінансових інструментів).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Основні фінансові інструменти хеджування ризиків</w:t>
      </w:r>
    </w:p>
    <w:tbl>
      <w:tblPr>
        <w:tblStyle w:val="Table6"/>
        <w:tblW w:w="15768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1548"/>
        <w:gridCol w:w="14219"/>
      </w:tblGrid>
      <w:tr>
        <w:trPr/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Форвардний контракт</w:t>
            </w:r>
          </w:p>
        </w:tc>
        <w:tc>
          <w:tcPr>
            <w:tcW w:w="1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стандартний документ, який засвідчує зобов‘язання особи придбати (продати) цінні папери, товари або кошти у визначений час та на визначених умовах у майбутньому, з фіксацією цін такого продажу під час укладення такого Ф.к.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При цьому будь-яка сторона Ф.к. має право відмовитися від його виконання винятково за наявності згоди іншої сторони контракту або у випадках, визначених цивільним законодавством.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Претензії щодо невиконання або неналежного виконання Ф. к. можуть пред'являтися винятково емітенту такого Ф. к.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Продавець Ф. к. не може передати (продати) зобов'язання за цим контрактом іншим особам без згоди покупця Ф. к.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Покупець Ф. к. має право без погодження з іншою стороною контракту в будь-який момент до закінчення строку дії (ліквідації) Ф. к. продати такий контракт будь-якій іншій особі, включаючи продавця такого Ф. к.</w:t>
            </w:r>
          </w:p>
        </w:tc>
      </w:tr>
      <w:tr>
        <w:trPr/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Ф‘ючерс</w:t>
            </w:r>
          </w:p>
        </w:tc>
        <w:tc>
          <w:tcPr>
            <w:tcW w:w="1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стандартний документ, який засвідчує зобов'язання придбати (продати) цінні папери, (можливо ще не виготовлені) товари або кошти у визначений час та на визначених умовах у майбутньому, з фіксацією цін на момент виконання зобов‘язань сторонами контракту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При цьому будь-яка сторона Ф. к. має право відмовитися від його виконання винятково за наявності згоди іншої сторони контракту або у випадках, визначених цивільним законодавством.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Покупець Ф. к. має право продати такий контракт протягом строку його дії іншим особам без погодження умов такого продажу з продавцем контракту.</w:t>
            </w:r>
          </w:p>
        </w:tc>
      </w:tr>
      <w:tr>
        <w:trPr/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Опціон</w:t>
            </w:r>
          </w:p>
        </w:tc>
        <w:tc>
          <w:tcPr>
            <w:tcW w:w="1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стандартний документ, який засвідчує право придбати або продати цінні папери (товари, кошти) на визначених умовах у майбутньому, з фіксацією ціни на час укладення такого опціону або на час такого придбання за рішенням сторін контракту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Продавець опціону (емітент) несе безумовне та безвідкличне зобов'язання щодо придбання/продажу цінних паперів (товарів, коштів) на умовах укладеного опціонного контракту.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Будь-який покупець опціону має право відмовитися у будь-який момент від придбання/продажу таких цінних паперів (товарів, коштів).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Претензії стосовно неналежного виконання або невиконання зобов'язань опціонного контракту можуть пред'являтися винятково емітенту опціону.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Опціон може бути проданий без обмежень іншим особам протягом строку його дії.</w:t>
            </w:r>
          </w:p>
        </w:tc>
      </w:tr>
      <w:tr>
        <w:trPr/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Своп</w:t>
            </w:r>
          </w:p>
        </w:tc>
        <w:tc>
          <w:tcPr>
            <w:tcW w:w="14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є угодою про обмін активів, процентних виплат, процентних ставок або інших характеристик, вказаних в угоді, з метою оптимізації структури капіталу компанії і отримання додаткового доходу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64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(контракт на придбання/продаж певної кількості ЦП, товарів, коштів супроводжується контрактом на зворотний їх продаж/купівлю на певну дату в майбутньому)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4. ЦІНОУТВОРЕННЯ НА ФІНАНСОВОМУ РИНКУ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Капітал в умовах ринкової економіки розподіляється за допомогою механізму ціноутворення. Згідно з класичним визначенням економічної теорії: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ціна –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це грошовий вираз вартості того чи іншого товару.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На фінансовому ринку мають місце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 категорії,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що пов’язано з ціною:</w:t>
      </w:r>
    </w:p>
    <w:tbl>
      <w:tblPr>
        <w:tblStyle w:val="Table7"/>
        <w:tblW w:w="9648" w:type="dxa"/>
        <w:jc w:val="left"/>
        <w:tblInd w:w="90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4967"/>
        <w:gridCol w:w="4680"/>
      </w:tblGrid>
      <w:tr>
        <w:trPr/>
        <w:tc>
          <w:tcPr>
            <w:tcW w:w="4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Ціна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(курс)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ЦП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Ціна капіталу</w:t>
            </w:r>
          </w:p>
        </w:tc>
      </w:tr>
      <w:tr>
        <w:trPr/>
        <w:tc>
          <w:tcPr>
            <w:tcW w:w="4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(виражено в грошових одиницях)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(виражено в %)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Для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інвестора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ціна капіталу є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доходом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, який він отримує від вкладення інвестицій у фінансових активів,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108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емітента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–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фінансовими витратами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, які він повинен сплатити інвестору у % до отриманого капіталу.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У формуванні ціна на фінансовому ринку беруть участь усі його учасники: емітенти, інвестори, посередники, спеціалісти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Основним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завданням ціноутворення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на фінансовому ринку є: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5"/>
        </w:numPr>
        <w:pBdr/>
        <w:shd w:val="clear" w:fill="auto"/>
        <w:tabs>
          <w:tab w:val="clear" w:pos="720"/>
          <w:tab w:val="left" w:pos="360" w:leader="none"/>
        </w:tabs>
        <w:spacing w:lineRule="auto" w:line="288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відображення реального співвідношення попиту і пропозиції;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5"/>
        </w:numPr>
        <w:pBdr/>
        <w:shd w:val="clear" w:fill="auto"/>
        <w:tabs>
          <w:tab w:val="clear" w:pos="720"/>
          <w:tab w:val="left" w:pos="360" w:leader="none"/>
        </w:tabs>
        <w:spacing w:lineRule="auto" w:line="288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реалізація конкретних цілей ціноутворення;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5"/>
        </w:numPr>
        <w:pBdr/>
        <w:shd w:val="clear" w:fill="auto"/>
        <w:tabs>
          <w:tab w:val="clear" w:pos="720"/>
          <w:tab w:val="left" w:pos="360" w:leader="none"/>
        </w:tabs>
        <w:spacing w:lineRule="auto" w:line="288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урахування різноманітних факторів, що впливають на формування ціни.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Принципи ціноутворення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наукових підхід (обґрунтованість цілей ціноутворення)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цільове спрямування залежно від цінової політики та стратегії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можливість зіставити цін за різні періоди на різні фінансові інструменти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реальність або достовірність – втілення в ціні фактичних витрат на емісію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урахування рівня цін на аналогічні фінансові інструменти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відображення реального рівня витрат на фінансових операцій</w:t>
      </w:r>
    </w:p>
    <w:p>
      <w:pPr>
        <w:pStyle w:val="normal1"/>
        <w:keepNext w:val="false"/>
        <w:keepLines w:val="false"/>
        <w:pageBreakBefore w:val="false"/>
        <w:widowControl/>
        <w:numPr>
          <w:ilvl w:val="1"/>
          <w:numId w:val="6"/>
        </w:numPr>
        <w:pBdr/>
        <w:shd w:val="clear" w:fill="auto"/>
        <w:tabs>
          <w:tab w:val="clear" w:pos="720"/>
          <w:tab w:val="left" w:pos="900" w:leader="none"/>
        </w:tabs>
        <w:spacing w:lineRule="auto" w:line="288" w:before="0" w:after="0"/>
        <w:ind w:hanging="360" w:left="144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поєднання стратегії і тактики ціноутворення.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На формування цін на фінансовому ринку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впливають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такі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ФАКТОРИ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:</w:t>
      </w:r>
    </w:p>
    <w:tbl>
      <w:tblPr>
        <w:tblStyle w:val="Table8"/>
        <w:tblW w:w="15694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7847"/>
        <w:gridCol w:w="7846"/>
      </w:tblGrid>
      <w:tr>
        <w:trPr/>
        <w:tc>
          <w:tcPr>
            <w:tcW w:w="7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BFBFBF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Внутрішні</w:t>
            </w:r>
          </w:p>
        </w:tc>
        <w:tc>
          <w:tcPr>
            <w:tcW w:w="7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Зовнішні</w:t>
            </w:r>
          </w:p>
        </w:tc>
      </w:tr>
      <w:tr>
        <w:trPr/>
        <w:tc>
          <w:tcPr>
            <w:tcW w:w="7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cтупінь технічного озброєного виробництва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якість цінних паперів (                                                                                        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                                                                                                                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)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інвестиційні характеристики цінних паперів (                                 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                                                                                                                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)</w:t>
            </w:r>
          </w:p>
        </w:tc>
        <w:tc>
          <w:tcPr>
            <w:tcW w:w="7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BFBFBF" w:val="clear"/>
          </w:tcPr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галузева належність емітентів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територіальні умови його розміщення 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специфіка окремих регіонів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заходи державного регулювання цін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урахування цін на аналогічних цінних паперів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послуги на зовнішньому ринку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конкурентоспроможність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монополізм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ступінь розвитку ринкових відносин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співвідношення між попитом і пропозицією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7"/>
              </w:numPr>
              <w:pBdr/>
              <w:shd w:val="clear" w:fill="auto"/>
              <w:tabs>
                <w:tab w:val="clear" w:pos="720"/>
                <w:tab w:val="left" w:pos="284" w:leader="none"/>
              </w:tabs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рівень податків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shd w:fill="auto" w:val="clear"/>
          <w:vertAlign w:val="baseline"/>
        </w:rPr>
        <w:t>РИНКОВІ ФАКТОРИ ВПЛИВУ</w:t>
      </w:r>
    </w:p>
    <w:tbl>
      <w:tblPr>
        <w:tblStyle w:val="Table9"/>
        <w:tblW w:w="15772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5353"/>
        <w:gridCol w:w="4961"/>
        <w:gridCol w:w="5458"/>
      </w:tblGrid>
      <w:tr>
        <w:trPr/>
        <w:tc>
          <w:tcPr>
            <w:tcW w:w="5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BFBFBF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попит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витрати</w:t>
            </w:r>
          </w:p>
        </w:tc>
        <w:tc>
          <w:tcPr>
            <w:tcW w:w="5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BFBFBF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конкуренція</w:t>
            </w:r>
          </w:p>
        </w:tc>
      </w:tr>
      <w:tr>
        <w:trPr/>
        <w:tc>
          <w:tcPr>
            <w:tcW w:w="5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0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обсяг потенційних інвестиції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смаки та звички інвесторів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їхні доходи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наявність аналогічних цінних паперів на ринку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ціна на них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вартість інших фінансових інструментів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BFBFBF" w:val="clear"/>
          </w:tcPr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емісійні витрати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маркетинг витрат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витрати, що пов’язано з випуском і обігом фінансових активів</w:t>
            </w:r>
          </w:p>
        </w:tc>
        <w:tc>
          <w:tcPr>
            <w:tcW w:w="5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кількість і різмноманітність емітентів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наявність аналогічних цінних паперів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0"/>
                <w:numId w:val="11"/>
              </w:numPr>
              <w:pBdr/>
              <w:shd w:val="clear" w:fill="auto"/>
              <w:spacing w:lineRule="auto" w:line="240" w:before="0" w:after="0"/>
              <w:ind w:hanging="171" w:left="531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рівень цін конкурентоспроможності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Необхідно зазначити, що перелічені фактори можуть як підвищуватись, так і знижуватись рівень ціни. Дія цих факторів багато в чому залежить від конкурентоспроможності заходів щодо державних регулювання системи ціноутворення.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На фінансовому ринку застосовується багато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ВИДІВ ЦІН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на фінансових інструменти.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bookmarkStart w:id="2" w:name="_1fob9te"/>
      <w:bookmarkEnd w:id="2"/>
      <w:r>
        <w:rPr/>
        <w:drawing>
          <wp:inline distT="0" distB="0" distL="0" distR="0">
            <wp:extent cx="3175000" cy="1727200"/>
            <wp:effectExtent l="0" t="0" r="0" b="0"/>
            <wp:docPr id="12" name="image20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pn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72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номінальна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зазначена на бланку цінних паперів, визначається в проспекті емісії при випуску (інформує про те, яка частина вартості статутного капіталу припадала на 1 акцію в момент форм. АТ)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емісійна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Р продажу цінних паперів при їх первинному розміщенні (може не збігатися з номін. Р)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балансова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визначається на підставі фінансової звітності підприємства як вартість майна АТ, утворюється за рахунок власних джерел, поділена на кількість випущених акцій.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облікова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за якою цінні папери обліковуються на балансі підприємства в даний момент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курсова (ринкова)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відображає співвідношення попиту і пропозиції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біржова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визначає на біржі в процесі торгів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2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дисконтна (поточна)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визначає з урахування дисконтних множників і норм інв-ня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Економічна сутність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Р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найбільш повно проявляється через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функції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, які вона виконує на фінансовому ринку: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bookmarkStart w:id="3" w:name="_3znysh7"/>
      <w:bookmarkEnd w:id="3"/>
      <w:r>
        <w:rPr/>
        <w:drawing>
          <wp:inline distT="0" distB="0" distL="0" distR="0">
            <wp:extent cx="3390900" cy="1663700"/>
            <wp:effectExtent l="0" t="0" r="0" b="0"/>
            <wp:docPr id="13" name="image15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5.pn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66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3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обліку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у процесі ціноутворення на ринку фіксується певна вартість фінансових інструментів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3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контролю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за допомогою встановлення різних Р здійснюється контроль за рухом вартості різних видів інструментів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3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збалансування попиту і пропозиції</w:t>
      </w:r>
      <w:r>
        <w:rPr>
          <w:rFonts w:eastAsia="Gungsuh" w:cs="Gungsuh" w:ascii="Gungsuh" w:hAnsi="Gungsuh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при ↑ попиту та ↓ пропозиції, Р на фінансові інструменти ↑; при ↓ попиту та ↑ пропозиції – Р ↓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3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перерозподіл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у результаті відхилення Р від вартості новостворена вартість перерозподілу, між галузями економіки і регулювання, нагромадження і споживанням.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3"/>
        </w:numPr>
        <w:pBdr/>
        <w:shd w:val="clear" w:fill="auto"/>
        <w:spacing w:lineRule="auto" w:line="240" w:before="0" w:after="0"/>
        <w:ind w:hanging="190" w:left="36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управління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Р в умовах ринку визначається в якій кількості і яких інвестиційних властивостей випуску ЦП, як буде здійснюватись їх випуск, з якими витратами і прибутками.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Ціноутворення на фінансовому ринку здійснюється декількома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МЕТОДАМИ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bookmarkStart w:id="4" w:name="_2et92p0"/>
      <w:bookmarkEnd w:id="4"/>
      <w:r>
        <w:rPr/>
        <w:drawing>
          <wp:inline distT="0" distB="0" distL="0" distR="0">
            <wp:extent cx="3467100" cy="1587500"/>
            <wp:effectExtent l="0" t="0" r="0" b="0"/>
            <wp:docPr id="14" name="image3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1.pn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5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експертний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ґрунтування на використання аргументованих висновків експертів з рівня реальної вартості того чи іншого фінансового інструменту або Р певної фондової операції.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аналітичний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передбачає, що рівень Р визначається в результаті детального аналізу кон’юнктури ринку, виконується діагностичний факторний аналіз, моніторинг.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статистичний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базується на статистичному аналізі з використанням середніх величин, індексів, дисперсії, варіації.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балансовий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– теоретично найпростіший (вартість майна, зафіксований в офіційній звітності підприємства, ділиться на загальну кількість акцій)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нормативно-параметричний (бальний)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кожна інвестиційна характеристика цінних паперів або фондових операцій має певний діапазон нормативних значень, вибрана нормативна одиниця оцінються тією чи іншою кількістю балів, які підсумовується, і отримана сума балів помножується на завчасно прийняту вартісну оцінку 1 бала.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4"/>
        </w:numPr>
        <w:pBdr/>
        <w:shd w:val="clear" w:fill="auto"/>
        <w:spacing w:lineRule="auto" w:line="240" w:before="0" w:after="0"/>
        <w:ind w:hanging="190" w:left="36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економіко-математичне моделювання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 xml:space="preserve"> – імітаційне або динамічне моделювання на основі графічних або логічних моделей з використанням комп’ютерних технологій.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firstLine="54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64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5. МАЙБУТНЯ ТА ПОТОЧНА ВАРТІСТЬ ФІНАНСОВИХ ІНСТРУМЕНТІВ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Враховуючи, що процес інвестування тривалий у часі в інвестиційній практиці часто необхідно порівнювати вартість грошей на початок їхнього інвестування з вартістю грошей при їхньому поверненні у вигляді майбутнього прибутку, амортизації відрахувань тощо.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Ключову роль при трансформації вартості коштів у часі відіграють два основних поняття: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709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tbl>
      <w:tblPr>
        <w:tblStyle w:val="Table10"/>
        <w:tblW w:w="15588" w:type="dxa"/>
        <w:jc w:val="left"/>
        <w:tblInd w:w="-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534"/>
        <w:gridCol w:w="6034"/>
        <w:gridCol w:w="7020"/>
      </w:tblGrid>
      <w:tr>
        <w:trPr/>
        <w:tc>
          <w:tcPr>
            <w:tcW w:w="856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Майбутня вартість грошей</w:t>
            </w:r>
          </w:p>
        </w:tc>
        <w:tc>
          <w:tcPr>
            <w:tcW w:w="70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Теперішня вартість грошей</w:t>
            </w:r>
          </w:p>
        </w:tc>
      </w:tr>
      <w:tr>
        <w:trPr/>
        <w:tc>
          <w:tcPr>
            <w:tcW w:w="856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Сума, в яку перетворюється через певний період часу з урахуванням певної ставки % інвестовані сьогодні кошти</w:t>
            </w:r>
          </w:p>
        </w:tc>
        <w:tc>
          <w:tcPr>
            <w:tcW w:w="70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Сума майбутніх грошових надходжень, звернених з урахування певної % ставки до теперішнього періоду</w:t>
            </w:r>
          </w:p>
        </w:tc>
      </w:tr>
      <w:tr>
        <w:trPr/>
        <w:tc>
          <w:tcPr>
            <w:tcW w:w="856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Визначення майбутньої вартості пов’язано з процесом: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5"/>
              </w:numPr>
              <w:pBdr/>
              <w:shd w:val="clear" w:fill="auto"/>
              <w:tabs>
                <w:tab w:val="clear" w:pos="720"/>
                <w:tab w:val="left" w:pos="1466" w:leader="none"/>
              </w:tabs>
              <w:spacing w:lineRule="auto" w:line="240" w:before="0" w:after="0"/>
              <w:ind w:hanging="540" w:left="1080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нарощення</w:t>
            </w:r>
            <w:r>
              <w:rPr>
                <w:rFonts w:eastAsia="Gungsuh" w:cs="Gungsuh" w:ascii="Gungsuh" w:hAnsi="Gungsuh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цієї вартості (поступово ↑ сума вкладу шляхом приєднання до первісного його розміру суми %; ця сума розраховується за процентною ставкою); </w:t>
            </w:r>
          </w:p>
          <w:p>
            <w:pPr>
              <w:pStyle w:val="normal1"/>
              <w:keepNext w:val="false"/>
              <w:keepLines w:val="false"/>
              <w:widowControl/>
              <w:numPr>
                <w:ilvl w:val="1"/>
                <w:numId w:val="5"/>
              </w:numPr>
              <w:pBdr/>
              <w:shd w:val="clear" w:fill="auto"/>
              <w:tabs>
                <w:tab w:val="clear" w:pos="720"/>
                <w:tab w:val="left" w:pos="1466" w:leader="none"/>
              </w:tabs>
              <w:spacing w:lineRule="auto" w:line="240" w:before="0" w:after="0"/>
              <w:ind w:hanging="540" w:left="1080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дисконтування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(спосіб приведення майбутньої вартості до їх вартості в поточному періоді – до реальної вартості грошей)</w:t>
            </w:r>
          </w:p>
        </w:tc>
        <w:tc>
          <w:tcPr>
            <w:tcW w:w="70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Пов’язано з процесом дисконтування (зворотна операція нарощування)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У цьому разі сума процента відраховується від майбутньої вартості грошових коштів. Така ситуація виникає в тих випадках, коли необхідно визначити, скільки коштів потрібно інвестувати сьогодні для того, щоб через певний проміжок часу отримати зазделегідь обумовлену їх суму</w:t>
            </w:r>
          </w:p>
        </w:tc>
      </w:tr>
      <w:tr>
        <w:trPr>
          <w:cantSplit w:val="true"/>
        </w:trPr>
        <w:tc>
          <w:tcPr>
            <w:tcW w:w="856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Bookman Old Style" w:hAnsi="Bookman Old Style" w:eastAsia="Bookman Old Style" w:cs="Bookman Old Styl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Bookman Old Style" w:cs="Bookman Old Style" w:ascii="Bookman Old Style" w:hAnsi="Bookman Old Style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Майбутні грошові потоки</w:t>
            </w:r>
          </w:p>
        </w:tc>
        <w:tc>
          <w:tcPr>
            <w:tcW w:w="702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r>
          </w:p>
        </w:tc>
      </w:tr>
      <w:tr>
        <w:trPr>
          <w:cantSplit w:val="true"/>
        </w:trPr>
        <w:tc>
          <w:tcPr>
            <w:tcW w:w="253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  <w:t>Одиничний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сума, що виплачується одноразово</w:t>
            </w:r>
          </w:p>
        </w:tc>
        <w:tc>
          <w:tcPr>
            <w:tcW w:w="603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single"/>
                <w:shd w:fill="auto" w:val="clear"/>
                <w:vertAlign w:val="baseline"/>
              </w:rPr>
              <w:t>Ануїтет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рівномірні грошові потоки, що регулярно надходять (платежі за вкладами, процентні виплати по облігаціях, орендні платежі тощо)</w:t>
            </w:r>
          </w:p>
        </w:tc>
        <w:tc>
          <w:tcPr>
            <w:tcW w:w="7020" w:type="dxa"/>
            <w:vMerge w:val="continue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normal1"/>
              <w:keepNext w:val="false"/>
              <w:keepLines w:val="false"/>
              <w:widowControl w:val="false"/>
              <w:pBdr/>
              <w:shd w:val="clear" w:fill="auto"/>
              <w:spacing w:lineRule="auto" w:line="276" w:before="0" w:after="0"/>
              <w:ind w:hanging="0" w:left="0" w:right="0"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Визначення вартості грошей в часі необхідне, щоб сумувати грошові потоки, що надходять в різні періоди часу. Наприклад, якщо визначили поточну вартість одиничного надходження і поточну вартість ануїтету, то можна сумувати ці грошові потоки для визначення загальної суми надходжень, що має велике значення для визначення потоку доходів від активів, а також дає можливість визначати ефективність інвестування.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Визначення поточної вартості необхідне в ситуації, коли відома вартість майбутніх грошових потоків, отриманих в результаті капіталовкладень в нульовому періоді.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Це можна представити графічно: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bookmarkStart w:id="5" w:name="_tyjcwt"/>
      <w:bookmarkEnd w:id="5"/>
      <w:r>
        <w:rPr/>
        <w:drawing>
          <wp:inline distT="0" distB="0" distL="0" distR="0">
            <wp:extent cx="3111500" cy="1905000"/>
            <wp:effectExtent l="0" t="0" r="0" b="0"/>
            <wp:docPr id="15" name="image19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9.pn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shd w:fill="auto" w:val="clear"/>
          <w:vertAlign w:val="baseline"/>
        </w:rPr>
        <w:t>Схема визначення поточної вартості фінансових інструментів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При проведенні фінансово-економічних розрахунків, пов’язаних з інвестуванням коштів, процеси нарощування і дисконтування вартості можуть здійснюватись як за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простими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, так і за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складними процентами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 Прості проценти застосовуються, як правило, при короткостроковому інвестуванні, складні – при довгостроковому.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Простим процентом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називається сума, яка нараховується за початковою (реальною) вартістю вкладу в кінці одного періоду платежу, що обумовлюється умовами інвестування засобів (місяць, квартал і т. п.).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Розрахунок суми простого процента в процесі нарощування вкладу наступний:</w:t>
      </w:r>
    </w:p>
    <w:tbl>
      <w:tblPr>
        <w:tblStyle w:val="Table11"/>
        <w:tblW w:w="10115" w:type="dxa"/>
        <w:jc w:val="left"/>
        <w:tblInd w:w="126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267"/>
        <w:gridCol w:w="7847"/>
      </w:tblGrid>
      <w:tr>
        <w:trPr/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850900" cy="165100"/>
                  <wp:effectExtent l="0" t="0" r="0" b="0"/>
                  <wp:docPr id="16" name="image16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6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900" cy="16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J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сума процента за обумовлений період інвестування в цілому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Р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початкова сума вкладу (інвестицій)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тривалість інвестування (кількість періодів)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Z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процентна ставка у відносних величинах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У цьому випадку майбутня вартість вкладу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(S)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 врахуванням нарахованої суми процента визначається за формулою: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S = P + J = P (1 + nZ)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Множник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(1 + nZ)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називається коефіцієнтом нарощування простих процентів. Його значення завжди повинно бути більше одиниці.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При розрахунку суми простого процента в процесі дисконтування вартості грошових коштів (тобто суми дисконту) використовується наступна формула:</w:t>
      </w:r>
    </w:p>
    <w:tbl>
      <w:tblPr>
        <w:tblStyle w:val="Table12"/>
        <w:tblW w:w="13500" w:type="dxa"/>
        <w:jc w:val="left"/>
        <w:tblInd w:w="126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628"/>
        <w:gridCol w:w="10871"/>
      </w:tblGrid>
      <w:tr>
        <w:trPr/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066800" cy="393700"/>
                  <wp:effectExtent l="0" t="0" r="0" b="0"/>
                  <wp:docPr id="17" name="image10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10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39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D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сума дисконту (за простими процентами) за обумовлений період інвестування в цілому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S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кінцева сума вкладу, що обумовлена умовами інвестування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п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тривалість інвестування (кількість періодів)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Z – використовувана дисконтна ставка у відносних величинах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У цьому випадку реальна вартість грошових коштів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(Р)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 врахуванням розрахованої суми дисконту визначається так: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1333500" cy="393700"/>
            <wp:effectExtent l="0" t="0" r="0" b="0"/>
            <wp:docPr id="18" name="image7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.pn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39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Множник </w:t>
      </w:r>
      <w:r>
        <w:rPr/>
        <w:drawing>
          <wp:inline distT="0" distB="0" distL="0" distR="0">
            <wp:extent cx="444500" cy="393700"/>
            <wp:effectExtent l="0" t="0" r="0" b="0"/>
            <wp:docPr id="19" name="image5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5.pn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39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називається дисконтним множником (коефіцієнтом) простих відсотків, значення якого завжди повинно бути менше одиниці.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Складним відсотком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називається сума прибутку, яка утворюється в результаті інвестування при умові, що сума нарахованого відсотка (простого) не виплачується після кожного періоду, а приєднується до суми основного внеску і в наступному періоді платежу сама приносить прибуток.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При розрахунку суми внеску в процесі його нарощування за складними відсотками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(Sc)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використовується наступна формула: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990600" cy="241300"/>
            <wp:effectExtent l="0" t="0" r="0" b="0"/>
            <wp:docPr id="20" name="image24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24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Відповідно сума відсотка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(Jc)y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цьому випадку складає: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Jc = Sc – P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При розрахунку реальної вартості грошових коштів у процесі дисконтування за складними відсотками (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Рс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) використовується наступна формула: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850900" cy="431800"/>
            <wp:effectExtent l="0" t="0" r="0" b="0"/>
            <wp:docPr id="21" name="image9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9.pn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Відповідно сума дисконту (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Dc) у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цьому випадку дорівнює: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Dc = S – Pc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Множники (1 + Z)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z w:val="26"/>
          <w:szCs w:val="26"/>
          <w:u w:val="none"/>
          <w:shd w:fill="auto" w:val="clear"/>
          <w:vertAlign w:val="superscript"/>
        </w:rPr>
        <w:t>n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і </w:t>
      </w:r>
      <w:r>
        <w:rPr/>
        <w:drawing>
          <wp:inline distT="0" distB="0" distL="0" distR="0">
            <wp:extent cx="533400" cy="431800"/>
            <wp:effectExtent l="0" t="0" r="0" b="0"/>
            <wp:docPr id="22" name="image17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називаються відповідно множником нарощування і множником дисконтування складних відсотків.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Реальна теперішня вартість окремих фінансових інструментів формується під впливом двох основних показників: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1) суми майбутнього грошового потоку від конкретного виду фондового інструмента;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2) втрати дисконтної ставки, що використовується при оцінці реальної вартості майбутнього грошового потоку (норми поточної прибутковості).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tbl>
      <w:tblPr>
        <w:tblStyle w:val="Table13"/>
        <w:tblW w:w="15588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6408"/>
        <w:gridCol w:w="9179"/>
      </w:tblGrid>
      <w:tr>
        <w:trPr/>
        <w:tc>
          <w:tcPr>
            <w:tcW w:w="6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E0E0E0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За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облігаціями, ощадними сертифікатами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сума майбутнього грошового потоку складається із</w:t>
            </w:r>
          </w:p>
        </w:tc>
        <w:tc>
          <w:tcPr>
            <w:tcW w:w="9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За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акціями та інвестиційними сертифікатами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сума майбутнього грошового потоку формується</w:t>
            </w:r>
          </w:p>
        </w:tc>
      </w:tr>
      <w:tr>
        <w:trPr/>
        <w:tc>
          <w:tcPr>
            <w:tcW w:w="6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сум надходження відсотків за цими активами і вартості самого активу на момент його погашення</w:t>
            </w:r>
          </w:p>
        </w:tc>
        <w:tc>
          <w:tcPr>
            <w:tcW w:w="9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E0E0E0" w:val="clear"/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FFFFFF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1)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при використанні фінансового інструмента протягом невизначеного тривалого періоду часу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(в цьому випадку грошовий потік майбутнього періоду формується виключно за рахунок сум нарахованих дивідендів);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2)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при використанні фінансового інструмента протягом раніше передбаченого терміну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(в цьому випадку майбутній грошовий потік складається із сум надходжень дивідендів, суми придбання цього інструмента і курсової різниці за ним – різниці між його ціною на момент погашення і початковою ціною придбання)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Існують такі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МОДЕЛІ ОЦІНКИ РЕАЛЬНОЇ ПОТОЧНОЇ ВАРТОСТІ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найбільш популярних фінансових інструментів: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1.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облігацій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(основна модель):</w:t>
      </w:r>
    </w:p>
    <w:tbl>
      <w:tblPr>
        <w:tblStyle w:val="Table14"/>
        <w:tblW w:w="14148" w:type="dxa"/>
        <w:jc w:val="left"/>
        <w:tblInd w:w="54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3528"/>
        <w:gridCol w:w="10619"/>
      </w:tblGrid>
      <w:tr>
        <w:trPr/>
        <w:tc>
          <w:tcPr>
            <w:tcW w:w="3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905000" cy="444500"/>
                  <wp:effectExtent l="0" t="0" r="0" b="0"/>
                  <wp:docPr id="23" name="image13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13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44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Ц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2"/>
                <w:szCs w:val="22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поточна ринкова вартість облігації;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2"/>
                <w:szCs w:val="22"/>
                <w:u w:val="none"/>
                <w:shd w:fill="auto" w:val="clear"/>
                <w:vertAlign w:val="subscript"/>
              </w:rPr>
              <w:t>0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– щорічна сума відсотка за облігацією, що являє собою добуток її номіналу на оголошену ставку відсотка;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Ц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2"/>
                <w:szCs w:val="22"/>
                <w:u w:val="none"/>
                <w:shd w:fill="auto" w:val="clear"/>
                <w:vertAlign w:val="subscript"/>
              </w:rPr>
              <w:t>ном.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номінал облігації, що підлягає погашенню в кінці періоду її погашення;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НД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норма поточної доходності (виражена десятковим дробом);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88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 xml:space="preserve">t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2"/>
                <w:sz w:val="22"/>
                <w:szCs w:val="22"/>
                <w:u w:val="none"/>
                <w:shd w:fill="auto" w:val="clear"/>
                <w:vertAlign w:val="baseline"/>
              </w:rPr>
              <w:t>кількість років (періодів), що залишаються до погашення облігації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hanging="0" w:left="0" w:right="0"/>
        <w:jc w:val="left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10"/>
          <w:sz w:val="10"/>
          <w:szCs w:val="1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single"/>
          <w:shd w:fill="auto" w:val="clear"/>
          <w:vertAlign w:val="baseline"/>
        </w:rPr>
        <w:t>Економічний зміст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даної моделі полягає в тому, що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поточна ринкова вартість облігації дорівнює сумі всіх відсоткових надходжень за залишковий період її обігу і номіналу, дисконтованих за формою поточної прибутковості для даного виду облігацій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Ця модель використовується для розрахунку поточної вартості облігацій з періодичною виплатою відсотків.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2. Модель розрахунку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облігацій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без виплати відсотків являє собою спрощений варіант основної моделі:</w:t>
      </w:r>
    </w:p>
    <w:tbl>
      <w:tblPr>
        <w:tblStyle w:val="Table15"/>
        <w:tblW w:w="14220" w:type="dxa"/>
        <w:jc w:val="left"/>
        <w:tblInd w:w="54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3600"/>
        <w:gridCol w:w="10619"/>
      </w:tblGrid>
      <w:tr>
        <w:trPr/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016000" cy="444500"/>
                  <wp:effectExtent l="0" t="0" r="0" b="0"/>
                  <wp:docPr id="24" name="image2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44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perscript"/>
              </w:rPr>
              <w:t>/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поточна ринкова вартість облігації без виплати відсотків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single"/>
          <w:shd w:fill="auto" w:val="clear"/>
          <w:vertAlign w:val="baseline"/>
        </w:rPr>
        <w:t>Економічний зміст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даної моделі полягає в тому, що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поточна ринкова вартість облігацій без виплати відсотків представляє її номінал, приведений до реальної вартості за дисконтною ставкою (нормою поточної доходності)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3.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облігацій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з виплатою всієї суми відсотків при погашенні:</w:t>
      </w:r>
    </w:p>
    <w:tbl>
      <w:tblPr>
        <w:tblStyle w:val="Table16"/>
        <w:tblW w:w="14040" w:type="dxa"/>
        <w:jc w:val="left"/>
        <w:tblInd w:w="54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879"/>
        <w:gridCol w:w="11160"/>
      </w:tblGrid>
      <w:tr>
        <w:trPr/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117600" cy="444500"/>
                  <wp:effectExtent l="0" t="0" r="0" b="0"/>
                  <wp:docPr id="25" name="image14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14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44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perscript"/>
              </w:rPr>
              <w:t>/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t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поточна ринкова вартість облігації з виплатою всієї суми відсотків при погашені;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сума відсотка за облігацією, яка буде нарахована при її погашенні за відповідною ставкою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single"/>
          <w:shd w:fill="auto" w:val="clear"/>
          <w:vertAlign w:val="baseline"/>
        </w:rPr>
        <w:t>Економічний зміст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даної моделі полягає в тому,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що поточна ринкова вартість облігації дорівнює сукупним виплатам номіналу і суми відсотка при погашенні, дисконтованим за нормою поточної доходності для даного виду облігацій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 Вона також являє собою спрощений варіант основної моделі оцінки облігації.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4.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акції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при її використанні протягом необмежене тривалого періоду часу:</w:t>
      </w:r>
    </w:p>
    <w:tbl>
      <w:tblPr>
        <w:tblStyle w:val="Table17"/>
        <w:tblW w:w="14760" w:type="dxa"/>
        <w:jc w:val="left"/>
        <w:tblInd w:w="54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879"/>
        <w:gridCol w:w="11880"/>
      </w:tblGrid>
      <w:tr>
        <w:trPr/>
        <w:tc>
          <w:tcPr>
            <w:tcW w:w="2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219200" cy="457200"/>
                  <wp:effectExtent l="0" t="0" r="0" b="0"/>
                  <wp:docPr id="26" name="image25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25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t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поточна ринкова вартість акції, що використовується протягом невизначеної кількості років;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п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число років, що включається в розрахунок;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d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n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сума дивідендів, яку інвестор очікує отримати в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-ому році;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НД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норма поточної доходності акції даного типу, що використовується як дисконтна ставка в розрахунках реальної вартості, десятковим дробом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single"/>
          <w:shd w:fill="auto" w:val="clear"/>
          <w:vertAlign w:val="baseline"/>
        </w:rPr>
        <w:t>Економічний зміст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даної моделі полягає в тому,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що поточна ринкова вартість акції, що використовується невизначене число років, являє собою суму дивідендів за окремими періодами, приведену до теперішньої вартості за дисконтною ставкою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Ця модель має суто теоретичну направленість, оскільки на практиці жоден інвестор або фінансовий посередник не планує тримати свої фінансові активи в акціях такий тривалий час (за цей термін у них з’явиться ряд можливостей реінвестувати капітал на більш вигідних умовах).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5.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акцій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при їх використанні протягом раніше передбаченого терміну:</w:t>
      </w:r>
    </w:p>
    <w:tbl>
      <w:tblPr>
        <w:tblStyle w:val="Table18"/>
        <w:tblW w:w="15588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3555"/>
        <w:gridCol w:w="12032"/>
      </w:tblGrid>
      <w:tr>
        <w:trPr/>
        <w:tc>
          <w:tcPr>
            <w:tcW w:w="3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2120900" cy="482600"/>
                  <wp:effectExtent l="0" t="0" r="0" b="0"/>
                  <wp:docPr id="27" name="image8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8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48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j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поточна ринкова вартість акції, що використовується протягом раніше передбаченого періоду;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прогнозована ринкова ціна реалізації акції в кінці періоду її використання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single"/>
          <w:shd w:fill="auto" w:val="clear"/>
          <w:vertAlign w:val="baseline"/>
        </w:rPr>
        <w:t>Економічний зміст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даної моделі є аналогічним основній моделі оцінки облігацій з тією різницею, що замість суми відсотків використовуються показники диференційованої по роках суми дивідендів, а замість номіналу облігації – прогнозована ринкова ціна акції в момент її реалізації. Сам же механізм розрахунку ринкової вартості при цьому не змінюється.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6.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акції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з постійними дивідендами:</w:t>
      </w:r>
    </w:p>
    <w:tbl>
      <w:tblPr>
        <w:tblStyle w:val="Table19"/>
        <w:tblW w:w="10980" w:type="dxa"/>
        <w:jc w:val="left"/>
        <w:tblInd w:w="90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448"/>
        <w:gridCol w:w="8531"/>
      </w:tblGrid>
      <w:tr>
        <w:trPr/>
        <w:tc>
          <w:tcPr>
            <w:tcW w:w="2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876300" cy="419100"/>
                  <wp:effectExtent l="0" t="0" r="0" b="0"/>
                  <wp:docPr id="28" name="image29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9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де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ЦА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сопst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поточна ринкова вартість акції з постійними дивідендами;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d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річна сума постійного дивіденду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numPr>
          <w:ilvl w:val="0"/>
          <w:numId w:val="8"/>
        </w:numPr>
        <w:pBdr/>
        <w:shd w:val="clear" w:fill="auto"/>
        <w:tabs>
          <w:tab w:val="left" w:pos="720" w:leader="none"/>
          <w:tab w:val="left" w:pos="900" w:leader="none"/>
        </w:tabs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акції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з постійно зростаючими дивідендами (модель Гордона):</w:t>
      </w:r>
    </w:p>
    <w:tbl>
      <w:tblPr>
        <w:tblStyle w:val="Table20"/>
        <w:tblW w:w="12060" w:type="dxa"/>
        <w:jc w:val="left"/>
        <w:tblInd w:w="90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2520"/>
        <w:gridCol w:w="9539"/>
      </w:tblGrid>
      <w:tr>
        <w:trPr/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1143000" cy="444500"/>
                  <wp:effectExtent l="0" t="0" r="0" b="0"/>
                  <wp:docPr id="29" name="image11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11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44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j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поточна ринкова вартість акції з дивідендами, що постійно повертаються;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d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0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сума останнього виплаченого дивіденду;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д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темп росту дивідендів, виражений десятковим дробом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8. Модель оцінки поточної </w:t>
      </w:r>
      <w:r>
        <w:rPr>
          <w:rFonts w:eastAsia="Times New Roman" w:cs="Times New Roman" w:ascii="Times New Roman" w:hAnsi="Times New Roman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ринкової вартості акцій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 xml:space="preserve"> зі змінною сумою дивідендів за періодами:</w:t>
      </w:r>
    </w:p>
    <w:tbl>
      <w:tblPr>
        <w:tblStyle w:val="Table21"/>
        <w:tblW w:w="12960" w:type="dxa"/>
        <w:jc w:val="left"/>
        <w:tblInd w:w="90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4248"/>
        <w:gridCol w:w="8711"/>
      </w:tblGrid>
      <w:tr>
        <w:trPr/>
        <w:tc>
          <w:tcPr>
            <w:tcW w:w="4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/>
              <w:drawing>
                <wp:inline distT="0" distB="0" distL="0" distR="0">
                  <wp:extent cx="2362200" cy="431800"/>
                  <wp:effectExtent l="0" t="0" r="0" b="0"/>
                  <wp:docPr id="30" name="image3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43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де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ЦА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поточна ринкова вартість акції зі змінюваною сумою дивідендів; 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d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1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, 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d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2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, ... , d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/>
                <w:iCs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n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дивіденди за періоди</w:t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40" w:before="0" w:after="0"/>
        <w:ind w:firstLine="54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/>
        <w:drawing>
          <wp:inline distT="0" distB="0" distL="0" distR="0">
            <wp:extent cx="114300" cy="215900"/>
            <wp:effectExtent l="0" t="0" r="0" b="0"/>
            <wp:docPr id="31" name="image6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6.pn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1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FFFFFF"/>
        <w:spacing w:lineRule="auto" w:line="288" w:before="0" w:after="0"/>
        <w:ind w:firstLine="567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Дані моделі оцінки реальної поточної вартості окремих фінансових інструментів використовується при їх виборі і включенні у фондовий портфель, що формується.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center"/>
        <w:rPr>
          <w:rFonts w:ascii="Bookman Old Style" w:hAnsi="Bookman Old Style" w:eastAsia="Bookman Old Style" w:cs="Bookman Old Styl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Bookman Old Style" w:cs="Bookman Old Style" w:ascii="Bookman Old Style" w:hAnsi="Bookman Old Style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Задачі для вирішення на парі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Задача 1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Облігації номіналом 25 грн. продаються за ціною 24,5 грн. Визначити курс облігацій.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Розв’язок: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Задача 2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Курс державних короткострокових облігацій номіналом 100 грн. становить 77,5 грн. Визначити ринкову ціну облігації.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Розв’язок: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Задача 3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Визначити поточну дохідність акцій, якщо за 10000 акцій номіналом 1000 ум.од. інвестором було оплачено 12 360 000 ум.од., дивіденди складають 9%.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Розв’язок: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Задача 4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Визначити прибуток на акцію, якщо компанія випустила 3 000 акцій, віддача акціонерного капіталу дорівнює 5, а капіталізована вартість акцій – 16 000 грн.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Розв’язок: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  <w:t>.</w:t>
      </w:r>
      <w:r>
        <w:br w:type="page"/>
      </w:r>
    </w:p>
    <w:tbl>
      <w:tblPr>
        <w:tblStyle w:val="Table22"/>
        <w:tblW w:w="15048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/>
      </w:tblPr>
      <w:tblGrid>
        <w:gridCol w:w="3888"/>
        <w:gridCol w:w="4499"/>
        <w:gridCol w:w="6661"/>
      </w:tblGrid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pageBreakBefore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Капіталізована вартість акцій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визначає ринкову вартість акцій АТ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в.а.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= Q × A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p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Q – кількість емітованих акцій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A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p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ринкова вартість акцій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Віддача акціонерного капіталу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показує темп зростання вкладеного акціонерами капіталу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В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а.к.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= (П – 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)/К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або В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а.к.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= (П – 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)/К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в.а.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 – сума чистого прибутку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відсотки за користування позиковими коштами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балансова вартість акціонерного капіталу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в.а.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капіталізована вартість акцій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Балансова вартість однієї акції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є бухгалтерське підтвердження забезеченості емітованої акції капіталом АТ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б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= (К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+ Р)/ Q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Р – розмір страхового (резервного) фонду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Q – кількість емітованих акцій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Співвідношення ринкової і балансової вартості акцій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узагальнюючий показник, що свідчить про успіх (невдачу) корпорації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С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= 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/А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б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ринкова вартість акції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б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балансова вартість акції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Прибуток на акцію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уможливлює оцінку розміру доходів, що спрямовуються на споживання і нагромадження та припадають на одну акцію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а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=(П – 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)/ Q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 – сума чистого прибутку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sz w:val="26"/>
                <w:szCs w:val="26"/>
                <w:u w:val="none"/>
                <w:shd w:fill="auto" w:val="clear"/>
                <w:vertAlign w:val="subscript"/>
              </w:rPr>
              <w:t>р</w:t>
            </w: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 xml:space="preserve"> – відсотки за користування позиковими коштами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Q – кількість емітованих акцій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Дивідендна віддача акцій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Показує розмір доходу, що спрямовується на поточне споживання акціонерів, у відношенні до ринкової вартості акції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Да = Д/Ар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Д – розмір нарахованого дивіденду</w:t>
            </w:r>
          </w:p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Ар – ринкова вартість акції</w:t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Коефіцієнт «ціна-дохід»</w:t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  <w:t>Характеризує зв’язок між ринковою вартістю акції і доходом, що вона приносить. Якщо порівняти цей показник стосовно акцій кількох підприємств, найбільш інвестиційно привабливими будуть акції з найменшим коефіцієнтом</w:t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  <w:tc>
          <w:tcPr>
            <w:tcW w:w="4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  <w:tc>
          <w:tcPr>
            <w:tcW w:w="6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240" w:before="0" w:after="0"/>
              <w:ind w:hanging="0" w:left="0" w:right="0"/>
              <w:jc w:val="both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6"/>
                <w:sz w:val="26"/>
                <w:szCs w:val="26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Times New Roman" w:hAnsi="Times New Roman" w:eastAsia="Times New Roman" w:cs="Times New Roman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6"/>
          <w:sz w:val="26"/>
          <w:szCs w:val="26"/>
          <w:u w:val="none"/>
          <w:shd w:fill="auto" w:val="clear"/>
          <w:vertAlign w:val="baseline"/>
        </w:rPr>
      </w:r>
    </w:p>
    <w:sectPr>
      <w:footerReference w:type="even" r:id="rId33"/>
      <w:footerReference w:type="default" r:id="rId34"/>
      <w:footerReference w:type="first" r:id="rId35"/>
      <w:type w:val="nextPage"/>
      <w:pgSz w:orient="landscape" w:w="16838" w:h="11906"/>
      <w:pgMar w:left="680" w:right="680" w:gutter="0" w:header="0" w:top="680" w:footer="709" w:bottom="766"/>
      <w:pgNumType w:start="1" w:fmt="decimal"/>
      <w:formProt w:val="false"/>
      <w:textDirection w:val="lrTb"/>
      <w:docGrid w:type="default" w:linePitch="10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cc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Times New Roman">
    <w:charset w:val="cc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Liberation Sans">
    <w:altName w:val="Arial"/>
    <w:charset w:val="cc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Georgia">
    <w:charset w:val="cc"/>
    <w:family w:val="auto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Arial">
    <w:charset w:val="cc"/>
    <w:family w:val="auto"/>
    <w:pitch w:val="variable"/>
    <w:embedRegular r:id="rId22" w:fontKey="{16014A78-CABC-4EF0-12AC-5CD89AEFDE16}"/>
    <w:embedBold r:id="rId23" w:fontKey="{17014A78-CABC-4EF0-12AC-5CD89AEFDE17}"/>
    <w:embedItalic r:id="rId24" w:fontKey="{18014A78-CABC-4EF0-12AC-5CD89AEFDE18}"/>
    <w:embedBoldItalic r:id="rId25" w:fontKey="{19014A78-CABC-4EF0-12AC-5CD89AEFDE19}"/>
  </w:font>
  <w:font w:name="Times New Roman">
    <w:charset w:val="cc"/>
    <w:family w:val="auto"/>
    <w:pitch w:val="variable"/>
    <w:embedRegular r:id="rId26" w:fontKey="{1A014A78-CABC-4EF0-12AC-5CD89AEFDE1A}"/>
    <w:embedBold r:id="rId27" w:fontKey="{1B014A78-CABC-4EF0-12AC-5CD89AEFDE1B}"/>
    <w:embedItalic r:id="rId28" w:fontKey="{1C014A78-CABC-4EF0-12AC-5CD89AEFDE1C}"/>
    <w:embedBoldItalic r:id="rId29" w:fontKey="{1D014A78-CABC-4EF0-12AC-5CD89AEFDE1D}"/>
  </w:font>
  <w:font w:name="Bookman Old Style">
    <w:charset w:val="cc"/>
    <w:family w:val="auto"/>
    <w:pitch w:val="variable"/>
  </w:font>
  <w:font w:name="Gungsuh">
    <w:charset w:val="cc"/>
    <w:family w:val="auto"/>
    <w:pitch w:val="variable"/>
  </w:font>
  <w:font w:name="Times New Roman">
    <w:charset w:val="01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Courier New">
    <w:charset w:val="01"/>
    <w:family w:val="modern"/>
    <w:pitch w:val="fixed"/>
    <w:embedRegular r:id="rId30" w:fontKey="{1E014A78-CABC-4EF0-12AC-5CD89AEFDE1E}"/>
    <w:embedBold r:id="rId31" w:fontKey="{1F014A78-CABC-4EF0-12AC-5CD89AEFDE1F}"/>
    <w:embedItalic r:id="rId32" w:fontKey="{20014A78-CABC-4EF0-12AC-5CD89AEFDE20}"/>
    <w:embedBoldItalic r:id="rId33" w:fontKey="{21014A78-CABC-4EF0-12AC-5CD89AEFDE21}"/>
  </w:font>
  <w:font w:name="Noto Sans Symbols">
    <w:charset w:val="01"/>
    <w:family w:val="swiss"/>
    <w:pitch w:val="default"/>
    <w:embedRegular r:id="rId34" w:fontKey="{22014A78-CABC-4EF0-12AC-5CD89AEFDE22}"/>
    <w:embedBold r:id="rId35" w:fontKey="{23014A78-CABC-4EF0-12AC-5CD89AEFDE23}"/>
    <w:embedItalic r:id="rId36" w:fontKey="{24014A78-CABC-4EF0-12AC-5CD89AEFDE24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center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0</w:t>
    </w:r>
    <w:r>
      <w:rPr/>
      <w:fldChar w:fldCharType="end"/>
    </w:r>
  </w:p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left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center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18</w:t>
    </w:r>
    <w:r>
      <w:rPr/>
      <w:fldChar w:fldCharType="end"/>
    </w:r>
  </w:p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left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center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18</w:t>
    </w:r>
    <w:r>
      <w:rPr/>
      <w:fldChar w:fldCharType="end"/>
    </w:r>
  </w:p>
  <w:p>
    <w:pPr>
      <w:pStyle w:val="normal1"/>
      <w:keepNext w:val="false"/>
      <w:keepLines w:val="false"/>
      <w:pageBreakBefore w:val="false"/>
      <w:widowControl/>
      <w:pBdr/>
      <w:shd w:val="clear" w:fill="auto"/>
      <w:tabs>
        <w:tab w:val="clear" w:pos="720"/>
        <w:tab w:val="center" w:pos="4677" w:leader="none"/>
        <w:tab w:val="right" w:pos="9355" w:leader="none"/>
      </w:tabs>
      <w:spacing w:lineRule="auto" w:line="240" w:before="0" w:after="0"/>
      <w:ind w:hanging="0" w:left="0" w:right="0"/>
      <w:jc w:val="left"/>
      <w:rPr>
        <w:rFonts w:ascii="Times New Roman" w:hAnsi="Times New Roman" w:eastAsia="Times New Roman" w:cs="Times New Roman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4"/>
        <w:sz w:val="24"/>
        <w:szCs w:val="24"/>
        <w:u w:val="none"/>
        <w:shd w:fill="auto" w:val="clear"/>
        <w:vertAlign w:val="baseline"/>
      </w:rPr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2"/>
      <w:numFmt w:val="bullet"/>
      <w:lvlText w:val="–"/>
      <w:lvlJc w:val="left"/>
      <w:pPr>
        <w:tabs>
          <w:tab w:val="num" w:pos="0"/>
        </w:tabs>
        <w:ind w:left="927" w:hanging="360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647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367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3087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07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527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247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967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687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</w:abstractNum>
  <w:abstractNum w:abstractNumId="2">
    <w:lvl w:ilvl="0">
      <w:start w:val="8"/>
      <w:numFmt w:val="bullet"/>
      <w:lvlText w:val="●"/>
      <w:lvlJc w:val="left"/>
      <w:pPr>
        <w:tabs>
          <w:tab w:val="num" w:pos="0"/>
        </w:tabs>
        <w:ind w:left="360" w:hanging="190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0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22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94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6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8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10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2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54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</w:abstractNum>
  <w:abstractNum w:abstractNumId="3">
    <w:lvl w:ilvl="0">
      <w:start w:val="8"/>
      <w:numFmt w:val="bullet"/>
      <w:lvlText w:val="●"/>
      <w:lvlJc w:val="left"/>
      <w:pPr>
        <w:tabs>
          <w:tab w:val="num" w:pos="0"/>
        </w:tabs>
        <w:ind w:left="360" w:hanging="190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</w:abstractNum>
  <w:abstractNum w:abstractNumId="4">
    <w:lvl w:ilvl="0">
      <w:start w:val="8"/>
      <w:numFmt w:val="bullet"/>
      <w:lvlText w:val="●"/>
      <w:lvlJc w:val="left"/>
      <w:pPr>
        <w:tabs>
          <w:tab w:val="num" w:pos="0"/>
        </w:tabs>
        <w:ind w:left="360" w:hanging="190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  <w:vertAlign w:val="baseline"/>
        <w:position w:val="0"/>
        <w:sz w:val="20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</w:abstractNum>
  <w:abstractNum w:abstractNumId="5"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vertAlign w:val="baseline"/>
        <w:position w:val="0"/>
        <w:sz w:val="20"/>
      </w:rPr>
    </w:lvl>
    <w:lvl w:ilvl="1">
      <w:start w:val="2"/>
      <w:numFmt w:val="bullet"/>
      <w:lvlText w:val="–"/>
      <w:lvlJc w:val="left"/>
      <w:pPr>
        <w:tabs>
          <w:tab w:val="num" w:pos="0"/>
        </w:tabs>
        <w:ind w:left="1440" w:hanging="360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6"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vertAlign w:val="baseline"/>
        <w:position w:val="0"/>
        <w:sz w:val="20"/>
      </w:rPr>
    </w:lvl>
    <w:lvl w:ilvl="1">
      <w:start w:val="1"/>
      <w:numFmt w:val="bullet"/>
      <w:lvlText w:val="●"/>
      <w:lvlJc w:val="left"/>
      <w:pPr>
        <w:tabs>
          <w:tab w:val="num" w:pos="0"/>
        </w:tabs>
        <w:ind w:left="1440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vertAlign w:val="baseline"/>
        <w:position w:val="0"/>
        <w:sz w:val="20"/>
      </w:rPr>
    </w:lvl>
    <w:lvl w:ilvl="1">
      <w:start w:val="1"/>
      <w:numFmt w:val="bullet"/>
      <w:lvlText w:val="●"/>
      <w:lvlJc w:val="left"/>
      <w:pPr>
        <w:tabs>
          <w:tab w:val="num" w:pos="0"/>
        </w:tabs>
        <w:ind w:left="1789" w:hanging="360"/>
      </w:pPr>
      <w:rPr>
        <w:rFonts w:ascii="Noto Sans Symbols" w:hAnsi="Noto Sans Symbols" w:cs="Noto Sans Symbols" w:hint="default"/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  <w:rPr>
        <w:vertAlign w:val="baseline"/>
        <w:position w:val="0"/>
        <w:sz w:val="20"/>
      </w:rPr>
    </w:lvl>
  </w:abstractNum>
  <w:abstractNum w:abstractNumId="8">
    <w:lvl w:ilvl="0">
      <w:start w:val="7"/>
      <w:numFmt w:val="decimal"/>
      <w:lvlText w:val="%1."/>
      <w:lvlJc w:val="left"/>
      <w:pPr>
        <w:tabs>
          <w:tab w:val="num" w:pos="0"/>
        </w:tabs>
        <w:ind w:left="720" w:hanging="360"/>
      </w:pPr>
      <w:rPr>
        <w:vertAlign w:val="baseline"/>
        <w:position w:val="0"/>
        <w:sz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9"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vertAlign w:val="baseline"/>
        <w:position w:val="0"/>
        <w:sz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10">
    <w:lvl w:ilvl="0">
      <w:start w:val="8"/>
      <w:numFmt w:val="bullet"/>
      <w:lvlText w:val="●"/>
      <w:lvlJc w:val="left"/>
      <w:pPr>
        <w:tabs>
          <w:tab w:val="num" w:pos="0"/>
        </w:tabs>
        <w:ind w:left="531" w:hanging="171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440" w:hanging="360"/>
      </w:pPr>
      <w:rPr>
        <w:vertAlign w:val="baseline"/>
        <w:position w:val="0"/>
        <w:sz w:val="20"/>
        <w:b/>
        <w:bCs/>
      </w:rPr>
    </w:lvl>
    <w:lvl w:ilvl="2">
      <w:start w:val="8"/>
      <w:numFmt w:val="bullet"/>
      <w:lvlText w:val="-"/>
      <w:lvlJc w:val="left"/>
      <w:pPr>
        <w:tabs>
          <w:tab w:val="num" w:pos="0"/>
        </w:tabs>
        <w:ind w:left="2207" w:hanging="227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11">
    <w:lvl w:ilvl="0">
      <w:start w:val="8"/>
      <w:numFmt w:val="bullet"/>
      <w:lvlText w:val="●"/>
      <w:lvlJc w:val="left"/>
      <w:pPr>
        <w:tabs>
          <w:tab w:val="num" w:pos="0"/>
        </w:tabs>
        <w:ind w:left="531" w:hanging="171"/>
      </w:pPr>
      <w:rPr>
        <w:rFonts w:ascii="Times New Roman" w:hAnsi="Times New Roman" w:cs="Times New Roman" w:hint="default"/>
        <w:vertAlign w:val="baseline"/>
        <w:position w:val="0"/>
        <w:sz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vertAlign w:val="baseline"/>
        <w:position w:val="0"/>
        <w:sz w:val="20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vertAlign w:val="baseline"/>
        <w:position w:val="0"/>
        <w:sz w:val="20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vertAlign w:val="baseline"/>
        <w:position w:val="0"/>
        <w:sz w:val="20"/>
      </w:rPr>
    </w:lvl>
  </w:abstractNum>
  <w:abstractNum w:abstractNumId="1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w="http://schemas.openxmlformats.org/wordprocessingml/2006/main">
  <w:zoom w:percent="68"/>
  <w:embedTrueTypeFonts/>
  <w:defaultTabStop w:val="720"/>
  <w:autoHyphenation w:val="true"/>
  <w:hyphenationZone w:val="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NSimSun" w:cs="Arial"/>
        <w:lang w:val="uk-UA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before="0" w:after="0"/>
      <w:jc w:val="left"/>
    </w:pPr>
    <w:rPr>
      <w:rFonts w:ascii="Times New Roman" w:hAnsi="Times New Roman" w:eastAsia="NSimSun" w:cs="Arial"/>
      <w:color w:val="auto"/>
      <w:kern w:val="0"/>
      <w:sz w:val="20"/>
      <w:szCs w:val="20"/>
      <w:lang w:val="uk-UA" w:eastAsia="zh-CN" w:bidi="hi-IN"/>
    </w:rPr>
  </w:style>
  <w:style w:type="paragraph" w:styleId="Heading1">
    <w:name w:val="heading 1"/>
    <w:basedOn w:val="normal1"/>
    <w:next w:val="normal1"/>
    <w:qFormat/>
    <w:pPr>
      <w:keepNext w:val="true"/>
      <w:keepLines/>
      <w:pageBreakBefore w:val="false"/>
      <w:spacing w:lineRule="auto" w:line="240" w:before="480" w:after="120"/>
    </w:pPr>
    <w:rPr>
      <w:b/>
      <w:bCs/>
      <w:sz w:val="48"/>
      <w:szCs w:val="48"/>
    </w:rPr>
  </w:style>
  <w:style w:type="paragraph" w:styleId="Heading2">
    <w:name w:val="heading 2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b/>
      <w:bCs/>
      <w:sz w:val="36"/>
      <w:szCs w:val="36"/>
    </w:rPr>
  </w:style>
  <w:style w:type="paragraph" w:styleId="Heading3">
    <w:name w:val="heading 3"/>
    <w:basedOn w:val="normal1"/>
    <w:next w:val="normal1"/>
    <w:qFormat/>
    <w:pPr>
      <w:keepNext w:val="true"/>
      <w:keepLines/>
      <w:pageBreakBefore w:val="false"/>
      <w:spacing w:lineRule="auto" w:line="240" w:before="280" w:after="80"/>
    </w:pPr>
    <w:rPr>
      <w:b/>
      <w:bCs/>
      <w:sz w:val="28"/>
      <w:szCs w:val="28"/>
    </w:rPr>
  </w:style>
  <w:style w:type="paragraph" w:styleId="Heading4">
    <w:name w:val="heading 4"/>
    <w:basedOn w:val="normal1"/>
    <w:next w:val="normal1"/>
    <w:qFormat/>
    <w:pPr>
      <w:keepNext w:val="true"/>
      <w:keepLines/>
      <w:pageBreakBefore w:val="false"/>
      <w:spacing w:lineRule="auto" w:line="240" w:before="240" w:after="40"/>
    </w:pPr>
    <w:rPr>
      <w:b/>
      <w:bCs/>
      <w:sz w:val="24"/>
      <w:szCs w:val="24"/>
    </w:rPr>
  </w:style>
  <w:style w:type="paragraph" w:styleId="Heading5">
    <w:name w:val="heading 5"/>
    <w:basedOn w:val="normal1"/>
    <w:next w:val="normal1"/>
    <w:qFormat/>
    <w:pPr>
      <w:keepNext w:val="true"/>
      <w:keepLines/>
      <w:pageBreakBefore w:val="false"/>
      <w:spacing w:lineRule="auto" w:line="240" w:before="220" w:after="40"/>
    </w:pPr>
    <w:rPr>
      <w:b/>
      <w:bCs/>
      <w:sz w:val="22"/>
      <w:szCs w:val="22"/>
    </w:rPr>
  </w:style>
  <w:style w:type="paragraph" w:styleId="Heading6">
    <w:name w:val="heading 6"/>
    <w:basedOn w:val="normal1"/>
    <w:next w:val="normal1"/>
    <w:qFormat/>
    <w:pPr>
      <w:keepNext w:val="true"/>
      <w:keepLines/>
      <w:pageBreakBefore w:val="false"/>
      <w:spacing w:lineRule="auto" w:line="240" w:before="200" w:after="40"/>
    </w:pPr>
    <w:rPr>
      <w:b/>
      <w:bCs/>
      <w:sz w:val="20"/>
      <w:szCs w:val="20"/>
    </w:rPr>
  </w:style>
  <w:style w:type="paragraph" w:styleId="Style8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9">
    <w:name w:val="Покажчик"/>
    <w:basedOn w:val="Normal"/>
    <w:qFormat/>
    <w:pPr>
      <w:suppressLineNumbers/>
    </w:pPr>
    <w:rPr>
      <w:rFonts w:cs="Arial"/>
    </w:rPr>
  </w:style>
  <w:style w:type="paragraph" w:styleId="normal1" w:default="1">
    <w:name w:val="normal1"/>
    <w:qFormat/>
    <w:pPr>
      <w:widowControl/>
      <w:bidi w:val="0"/>
      <w:spacing w:before="0" w:after="0"/>
      <w:jc w:val="left"/>
    </w:pPr>
    <w:rPr>
      <w:rFonts w:ascii="Times New Roman" w:hAnsi="Times New Roman" w:eastAsia="NSimSun" w:cs="Arial"/>
      <w:color w:val="auto"/>
      <w:kern w:val="0"/>
      <w:sz w:val="20"/>
      <w:szCs w:val="20"/>
      <w:lang w:val="uk-UA" w:eastAsia="zh-CN" w:bidi="hi-IN"/>
    </w:rPr>
  </w:style>
  <w:style w:type="paragraph" w:styleId="Title">
    <w:name w:val="Title"/>
    <w:basedOn w:val="normal1"/>
    <w:next w:val="normal1"/>
    <w:qFormat/>
    <w:pPr>
      <w:keepNext w:val="true"/>
      <w:keepLines/>
      <w:pageBreakBefore w:val="false"/>
      <w:spacing w:lineRule="auto" w:line="240" w:before="480" w:after="120"/>
    </w:pPr>
    <w:rPr>
      <w:b/>
      <w:bCs/>
      <w:sz w:val="72"/>
      <w:szCs w:val="72"/>
    </w:rPr>
  </w:style>
  <w:style w:type="paragraph" w:styleId="Subtitle">
    <w:name w:val="Subtitle"/>
    <w:basedOn w:val="normal1"/>
    <w:next w:val="normal1"/>
    <w:qFormat/>
    <w:pPr>
      <w:keepNext w:val="true"/>
      <w:keepLines/>
      <w:pageBreakBefore w:val="false"/>
      <w:spacing w:lineRule="auto" w:line="240"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HeaderandFooter">
    <w:name w:val="Header and Footer"/>
    <w:basedOn w:val="Normal"/>
    <w:qFormat/>
    <w:pPr/>
    <w:rPr/>
  </w:style>
  <w:style w:type="paragraph" w:styleId="Footer">
    <w:name w:val="footer"/>
    <w:basedOn w:val="HeaderandFooter"/>
    <w:pPr/>
    <w:rPr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7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15.png"/><Relationship Id="rId18" Type="http://schemas.openxmlformats.org/officeDocument/2006/relationships/image" Target="media/image16.png"/><Relationship Id="rId19" Type="http://schemas.openxmlformats.org/officeDocument/2006/relationships/image" Target="media/image17.png"/><Relationship Id="rId20" Type="http://schemas.openxmlformats.org/officeDocument/2006/relationships/image" Target="media/image18.png"/><Relationship Id="rId21" Type="http://schemas.openxmlformats.org/officeDocument/2006/relationships/image" Target="media/image19.png"/><Relationship Id="rId22" Type="http://schemas.openxmlformats.org/officeDocument/2006/relationships/image" Target="media/image20.png"/><Relationship Id="rId23" Type="http://schemas.openxmlformats.org/officeDocument/2006/relationships/image" Target="media/image21.png"/><Relationship Id="rId24" Type="http://schemas.openxmlformats.org/officeDocument/2006/relationships/image" Target="media/image22.png"/><Relationship Id="rId25" Type="http://schemas.openxmlformats.org/officeDocument/2006/relationships/image" Target="media/image23.png"/><Relationship Id="rId26" Type="http://schemas.openxmlformats.org/officeDocument/2006/relationships/image" Target="media/image24.png"/><Relationship Id="rId27" Type="http://schemas.openxmlformats.org/officeDocument/2006/relationships/image" Target="media/image25.png"/><Relationship Id="rId28" Type="http://schemas.openxmlformats.org/officeDocument/2006/relationships/image" Target="media/image26.png"/><Relationship Id="rId29" Type="http://schemas.openxmlformats.org/officeDocument/2006/relationships/image" Target="media/image27.png"/><Relationship Id="rId30" Type="http://schemas.openxmlformats.org/officeDocument/2006/relationships/image" Target="media/image28.png"/><Relationship Id="rId31" Type="http://schemas.openxmlformats.org/officeDocument/2006/relationships/image" Target="media/image29.png"/><Relationship Id="rId32" Type="http://schemas.openxmlformats.org/officeDocument/2006/relationships/image" Target="media/image30.png"/><Relationship Id="rId33" Type="http://schemas.openxmlformats.org/officeDocument/2006/relationships/footer" Target="footer1.xml"/><Relationship Id="rId34" Type="http://schemas.openxmlformats.org/officeDocument/2006/relationships/footer" Target="footer2.xml"/><Relationship Id="rId35" Type="http://schemas.openxmlformats.org/officeDocument/2006/relationships/footer" Target="footer3.xml"/><Relationship Id="rId36" Type="http://schemas.openxmlformats.org/officeDocument/2006/relationships/numbering" Target="numbering.xml"/><Relationship Id="rId37" Type="http://schemas.openxmlformats.org/officeDocument/2006/relationships/fontTable" Target="fontTable.xml"/><Relationship Id="rId38" Type="http://schemas.openxmlformats.org/officeDocument/2006/relationships/settings" Target="settings.xml"/><Relationship Id="rId39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<Relationship Id="rId36" Type="http://schemas.openxmlformats.org/officeDocument/2006/relationships/font" Target="fonts/font36.odttf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 pitchFamily="0" charset="1"/>
        <a:ea typeface=""/>
        <a:cs typeface=""/>
      </a:majorFont>
      <a:minorFont>
        <a:latin typeface="Cambria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LibreOffice/24.8.0.3$Windows_X86_64 LibreOffice_project/0bdf1299c94fe897b119f97f3c613e9dca6be583</Application>
  <AppVersion>15.0000</AppVersion>
  <Pages>18</Pages>
  <Words>3741</Words>
  <Characters>25021</Characters>
  <CharactersWithSpaces>28839</CharactersWithSpaces>
  <Paragraphs>396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uk-UA</dc:language>
  <cp:lastModifiedBy/>
  <dcterms:modified xsi:type="dcterms:W3CDTF">2026-03-11T09:27:33Z</dcterms:modified>
  <cp:revision>1</cp:revision>
  <dc:subject/>
  <dc:title/>
</cp:coreProperties>
</file>