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КОНТРОЛЬНЕ ЗАВДАННЯ</w:t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Завдання 1.</w:t>
      </w:r>
      <w:r>
        <w:rPr>
          <w:rFonts w:ascii="Times New Roman" w:hAnsi="Times New Roman"/>
          <w:sz w:val="24"/>
          <w:szCs w:val="24"/>
          <w:lang w:val="uk-UA"/>
        </w:rPr>
        <w:t xml:space="preserve"> Виконати тестові завдання</w:t>
      </w:r>
    </w:p>
    <w:tbl>
      <w:tblPr>
        <w:tblW w:w="10632" w:type="dxa"/>
        <w:jc w:val="left"/>
        <w:tblInd w:w="-7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26"/>
        <w:gridCol w:w="2692"/>
        <w:gridCol w:w="7514"/>
      </w:tblGrid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160" w:leader="none"/>
              </w:tabs>
              <w:spacing w:lineRule="auto" w:line="240" w:before="0" w:after="0"/>
              <w:contextualSpacing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Платниками акцизного податку є особа, яка: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ind w:left="34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виробляє підакцизні товари на митній території України;</w:t>
            </w:r>
          </w:p>
          <w:p>
            <w:pPr>
              <w:pStyle w:val="Normal"/>
              <w:spacing w:lineRule="auto" w:line="240" w:before="0" w:after="0"/>
              <w:ind w:left="34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ввозить підакцизні товари на митну територію України;</w:t>
            </w:r>
          </w:p>
          <w:p>
            <w:pPr>
              <w:pStyle w:val="Normal"/>
              <w:spacing w:lineRule="auto" w:line="240" w:before="0" w:after="0"/>
              <w:ind w:left="34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яка здійснює реалізацію підакцизних товарів (суб’єкт господарювання роздрібної торгівлі);</w:t>
            </w:r>
          </w:p>
          <w:p>
            <w:pPr>
              <w:pStyle w:val="Normal"/>
              <w:spacing w:lineRule="auto" w:line="240" w:before="0" w:after="0"/>
              <w:ind w:left="34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яка реалізує пальне</w:t>
            </w:r>
          </w:p>
          <w:p>
            <w:pPr>
              <w:pStyle w:val="Normal"/>
              <w:widowControl w:val="false"/>
              <w:spacing w:lineRule="auto" w:line="240" w:before="0" w:after="0"/>
              <w:ind w:left="34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всі відповіді правильні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Операції з підакцизними товарами, які не підлягають оподаткуванню: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переобладнання ввезеного на митну територію України транспортного засобу у підакцизний легковий автомобіль;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ввезення підакцизного товару на митну територію України;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вивезення підакцизних товарів за межі митної території України;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оптове постачання електричної енергії;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реалізації суб’єктами господарювання роздрібної торгівлі підакцизних товарів.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Операції з підакцизними товарами, які не підлягають оподаткуванню: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ввезення підакцизного товару на митну територію України;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Б. ввезення на митну територію України раніше експортованих </w:t>
            </w:r>
            <w:r>
              <w:rPr>
                <w:rFonts w:ascii="Times New Roman" w:hAnsi="Times New Roman"/>
                <w:color w:val="000000"/>
                <w:lang w:val="uk-UA" w:eastAsia="uk-UA"/>
              </w:rPr>
              <w:t>підакцизних товарів (продукції), у яких виявлено недоліки, що перешкоджають реалізації цих товарів на митній території країни імпортера, для їх повернення експортеру;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переобладнання ввезеного на митну територію України транспортного засобу у підакцизний легковий автомобіль;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оптове постачання електричної енергії;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реалізації суб’єктами господарювання роздрібної торгівлі підакцизних товарів.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Операції з підакцизними товарами, які звільняють від оподаткуванню: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реалізації легкових автомобілів для інвалідів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ввезення підакцизних товарів (продукції) на митну територію України, призначених для офіційного (службового) користування дипломатичними представництвами іноземних держав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безоплатної передачі для знищення підакцизних товарів (продукції), конфіскованих за рішенням суду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ввезення на митну територію України підакцизних товарів (продукції), що використовуються як сировина для виробництва підакцизних товарів</w:t>
            </w:r>
          </w:p>
          <w:p>
            <w:pPr>
              <w:pStyle w:val="Normal"/>
              <w:tabs>
                <w:tab w:val="clear" w:pos="708"/>
                <w:tab w:val="left" w:pos="360" w:leader="none"/>
                <w:tab w:val="left" w:pos="72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всі відповіді правильні.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У разі обчислення податку із застосуванням специфічних ставок з підакцизних товарів (продукції) базою оподаткування є їх: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величина, визначена в одиницях виміру ваги;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величина, визначена в одиницях виміру об’єму;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величина, визначена в кількості товару (продукції);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величина, визначена в одиницях виміру об’єму циліндрів двигуна автомобіля;</w:t>
            </w:r>
          </w:p>
          <w:p>
            <w:pPr>
              <w:pStyle w:val="Normal"/>
              <w:tabs>
                <w:tab w:val="clear" w:pos="708"/>
                <w:tab w:val="left" w:pos="360" w:leader="none"/>
                <w:tab w:val="left" w:pos="72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всі відповіді правильні.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До підакцизних товарів не належить: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спирт етиловий;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тютюнові вироби;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пальне;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корисні копалини;</w:t>
            </w:r>
          </w:p>
          <w:p>
            <w:pPr>
              <w:pStyle w:val="Normal"/>
              <w:tabs>
                <w:tab w:val="clear" w:pos="708"/>
                <w:tab w:val="left" w:pos="360" w:leader="none"/>
                <w:tab w:val="left" w:pos="72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електрична енергія.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Датою виникнення податкових зобов'язань щодо підакцизних товарів (продукції), вироблених на митній території України, є: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дата їх реалізації особою, яка їх виробляє;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дата їх реалізації особою, яка їх виробляє, незалежно від цілей і напрямів подальшого використання таких товарів (продукції);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дата складання акту зіпсованого підакцизного товару (продукції);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дата складання акту знищеного підакцизного товару (продукції);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дата складання акту втраченого підакцизного товару (продукції).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W w:w="10632" w:type="dxa"/>
        <w:jc w:val="left"/>
        <w:tblInd w:w="-7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26"/>
        <w:gridCol w:w="2692"/>
        <w:gridCol w:w="7514"/>
      </w:tblGrid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pageBreakBefore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Податкове зобов’язання щодо втраченого підакцизного товару (продукції) не виникає, якщо: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платник податку документально зафіксував ці втрати;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платник надав контролюючим органам необхідні докази щодо його втрати (аварії, пожежі, повені чи інших форс-мажорних обставин);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підакцизний товар (продукцію) утрачено внаслідок випаровування в процесі виробництва;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підакцизний товар (продукцію) утрачено внаслідок причини, пов'язаної з природним результатом;</w:t>
            </w:r>
          </w:p>
          <w:p>
            <w:pPr>
              <w:pStyle w:val="Normal"/>
              <w:tabs>
                <w:tab w:val="clear" w:pos="708"/>
                <w:tab w:val="left" w:pos="360" w:leader="none"/>
                <w:tab w:val="left" w:pos="72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всі відповіді правильні.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Датою виникнення податкових зобов’язань у разі ввезення підакцизних товарів (продукції) на митну територію України є: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А. дата подання </w:t>
            </w:r>
            <w:hyperlink r:id="rId2" w:anchor="n14" w:tgtFrame="_blank">
              <w:r>
                <w:rPr>
                  <w:rStyle w:val="ListLabel1"/>
                  <w:rFonts w:ascii="Times New Roman" w:hAnsi="Times New Roman"/>
                  <w:lang w:val="uk-UA"/>
                </w:rPr>
                <w:t>митної декларації</w:t>
              </w:r>
            </w:hyperlink>
            <w:r>
              <w:rPr>
                <w:rFonts w:ascii="Times New Roman" w:hAnsi="Times New Roman"/>
                <w:lang w:val="uk-UA"/>
              </w:rPr>
              <w:t>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Б. дата подання контролюючому органу </w:t>
            </w:r>
            <w:hyperlink r:id="rId3" w:anchor="n14" w:tgtFrame="_blank">
              <w:r>
                <w:rPr>
                  <w:rStyle w:val="ListLabel1"/>
                  <w:rFonts w:ascii="Times New Roman" w:hAnsi="Times New Roman"/>
                  <w:lang w:val="uk-UA"/>
                </w:rPr>
                <w:t>митної декларації</w:t>
              </w:r>
            </w:hyperlink>
            <w:r>
              <w:rPr>
                <w:rFonts w:ascii="Times New Roman" w:hAnsi="Times New Roman"/>
                <w:lang w:val="uk-UA"/>
              </w:rPr>
              <w:t xml:space="preserve"> для митного оформлення;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дата нарахування такого податкового зобов’язання контролюючим органом;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дата нарахування такого податкового зобов’язання контролюючим органом у визначених законодавством випадках;</w:t>
            </w:r>
          </w:p>
          <w:p>
            <w:pPr>
              <w:pStyle w:val="Normal"/>
              <w:tabs>
                <w:tab w:val="clear" w:pos="708"/>
                <w:tab w:val="left" w:pos="360" w:leader="none"/>
                <w:tab w:val="left" w:pos="72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Д. дата подання контролюючому органу </w:t>
            </w:r>
            <w:hyperlink r:id="rId4" w:anchor="n14" w:tgtFrame="_blank">
              <w:r>
                <w:rPr>
                  <w:rStyle w:val="ListLabel1"/>
                  <w:rFonts w:ascii="Times New Roman" w:hAnsi="Times New Roman"/>
                  <w:lang w:val="uk-UA"/>
                </w:rPr>
                <w:t>митної декларації</w:t>
              </w:r>
            </w:hyperlink>
            <w:r>
              <w:rPr>
                <w:rFonts w:ascii="Times New Roman" w:hAnsi="Times New Roman"/>
                <w:lang w:val="uk-UA"/>
              </w:rPr>
              <w:t xml:space="preserve"> для митного оформлення або дата нарахування такого податкового зобов’язання контролюючим органом у визначених законодавством випадках.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При передачі підакцизних товарів (продукції), вироблених з давальницької сировини, датою виникнення податкових зобов’язань є: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дата початкового використання для виробництва підакцизних товарів;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дата їх відвантаження виробником замовнику або за його дорученням іншій особі;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дата їх відвантаження виробником за дорученням замовника іншій особі;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дата здійснення розрахункової операції;</w:t>
            </w:r>
          </w:p>
          <w:p>
            <w:pPr>
              <w:pStyle w:val="Normal"/>
              <w:tabs>
                <w:tab w:val="clear" w:pos="708"/>
                <w:tab w:val="left" w:pos="72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всі відповіді правильні.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color w:val="000000"/>
                <w:lang w:val="uk-UA" w:eastAsia="uk-UA"/>
              </w:rPr>
              <w:t>Датою виникнення податкових зобов’язань щодо постачання електроенергії є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дата здійснення розрахункової операції за електроенергію;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дата початкового використання електроенергії;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</w:t>
            </w:r>
            <w:r>
              <w:rPr>
                <w:rFonts w:ascii="Times New Roman" w:hAnsi="Times New Roman"/>
                <w:color w:val="000000"/>
                <w:lang w:val="uk-UA" w:eastAsia="uk-UA"/>
              </w:rPr>
              <w:t>дата підписання акту прийому-передачі Електроенергії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дата початкового постачання електроенергії;</w:t>
            </w:r>
          </w:p>
          <w:p>
            <w:pPr>
              <w:pStyle w:val="Normal"/>
              <w:tabs>
                <w:tab w:val="clear" w:pos="708"/>
                <w:tab w:val="left" w:pos="360" w:leader="none"/>
                <w:tab w:val="left" w:pos="72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всі відповіді правильні.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Суми податку, що підлягають сплаті, з підакцизних товарів (продукції), вироблених на митній території України: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визначаються платником податку самостійно;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визначаються платником, виходячи з об’єктів оподаткування;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визначаються платником, виходячи з бази оподаткування;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визначаються платником, виходячи зі ставок;</w:t>
            </w:r>
          </w:p>
          <w:p>
            <w:pPr>
              <w:pStyle w:val="Normal"/>
              <w:tabs>
                <w:tab w:val="clear" w:pos="708"/>
                <w:tab w:val="left" w:pos="360" w:leader="none"/>
                <w:tab w:val="left" w:pos="72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всі відповіді правильні.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Субʼєкти господарювання, що здійснюють діяльність з виробництва підакцизних товарів (продукції) реєструються в податкових органах за місцезнаходженням на основі відомостей про: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видані ліцензії;</w:t>
            </w:r>
          </w:p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переоформлені ліцензії;</w:t>
            </w:r>
          </w:p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призупинені ліцензії;</w:t>
            </w:r>
          </w:p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анульовані ліцензії;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всі відповіді правильні.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Особи, які здійснюватимуть реалізацію пального, підлягають обовʼязковій реєстрації як платники податку: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до початку здійснення реалізації пального;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при першій реалізації пального;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при перевищенні вартості реалізації пального понад 1 млн. грн.;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не пізніше граничного терміну подання декларації акцизного податку;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всі відповіді правильні.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15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Ліцензія на алкоголь видається: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на кожне місце торгівлі;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на кожен реєстратор розрахункових операцій;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на вид алкоголю;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на кожну торгову марку;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на кожного платника податку.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W w:w="10632" w:type="dxa"/>
        <w:jc w:val="left"/>
        <w:tblInd w:w="-7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26"/>
        <w:gridCol w:w="2692"/>
        <w:gridCol w:w="7514"/>
      </w:tblGrid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pageBreakBefore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Ліцензія на тютюн видається: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на кожне місце торгівлі;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на кожен реєстратор розрахункових операцій;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на вид алкоголю;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на кожну торгову марку;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на кожного платника податку.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Розмір плати за ліцензію варіюється залежно від: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розташування місця торгівлі;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виду підакцизного товару;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торгової марки підакцизного товару;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торгових оборотів платника податку;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всі відповіді правильні.</w:t>
            </w:r>
          </w:p>
        </w:tc>
      </w:tr>
      <w:tr>
        <w:trPr>
          <w:trHeight w:val="194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Плату за ліцензії зараховують до: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державного бюджету;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місцевого бюджету;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бюджету об’єднаних територіальних громад;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правильними є відповіді Б, В;</w:t>
            </w:r>
          </w:p>
          <w:p>
            <w:pPr>
              <w:pStyle w:val="Normal"/>
              <w:tabs>
                <w:tab w:val="clear" w:pos="708"/>
                <w:tab w:val="left" w:pos="28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всі відповіді правильні.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Ліцензію на алкоголь та тютюн видають податкові органи за: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місцем торгівлі;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місцем реєстрації підприємства;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місцем реєстрації реєстру розрахункових операцій;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місцем реєстрації ФОП;</w:t>
            </w:r>
          </w:p>
          <w:p>
            <w:pPr>
              <w:pStyle w:val="Normal"/>
              <w:tabs>
                <w:tab w:val="clear" w:pos="708"/>
                <w:tab w:val="left" w:pos="28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місцем обліку платника податку.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360" w:leader="none"/>
                <w:tab w:val="left" w:pos="993" w:leader="none"/>
                <w:tab w:val="left" w:pos="2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У разі здійснення продажу алкоголю через касовий апарат, що не зазначений в ліцензії, підприємство сплатить штраф у розмірі: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200% вартості реалізованого алкоголю;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150% вартості реалізованого алкоголю;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100% вартості реалізованого алкоголю;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200% товарообороту підприємства;</w:t>
            </w:r>
          </w:p>
          <w:p>
            <w:pPr>
              <w:pStyle w:val="Normal"/>
              <w:tabs>
                <w:tab w:val="clear" w:pos="708"/>
                <w:tab w:val="left" w:pos="28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100% товарообороту підприємства.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160" w:leader="none"/>
              </w:tabs>
              <w:spacing w:lineRule="auto" w:line="240" w:before="0" w:after="0"/>
              <w:contextualSpacing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Якщо ви змінюєте місце торгівлі – потрібно: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отримати нову ліцензію;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внести зміни до поточної ліцензії через оформлення додатку до неї;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не потрібно отримувати ліцензію;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в електронному режимі подати заяву на внесення змін у Реєстр платників податку;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Д. немає правильної відповіді. 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160" w:leader="none"/>
              </w:tabs>
              <w:spacing w:lineRule="auto" w:line="240" w:before="0" w:after="0"/>
              <w:contextualSpacing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Податкові зобов’язання за імпортні товари виникають: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в день реалізації товарів виробником;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при передачі товарів через кордон;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при постачанні електроенергії;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в день подачі митної декларації;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всі відповіді правильні.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Суми податку, що підлягають сплаті, з підакцизних товарів (продукції), вироблених на митній території України, визначаються: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платником податку самостійно;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контролюючим податковим органом;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органами місцевого самоврядування;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виробником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всі відповіді правильні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160" w:leader="none"/>
              </w:tabs>
              <w:spacing w:lineRule="auto" w:line="240" w:before="0" w:after="0"/>
              <w:contextualSpacing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Сплата сум акцизного податку забороняється шляхом: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безготівково розрахунку;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векселями;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взаємних заліків;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зустрічних зобов’язань;</w:t>
            </w:r>
          </w:p>
          <w:p>
            <w:pPr>
              <w:pStyle w:val="Normal"/>
              <w:tabs>
                <w:tab w:val="clear" w:pos="708"/>
                <w:tab w:val="left" w:pos="916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всі відповіді правильні, окрім А.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25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160" w:leader="none"/>
              </w:tabs>
              <w:spacing w:lineRule="auto" w:line="240" w:before="0" w:after="0"/>
              <w:contextualSpacing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Ставка акцизного податку може бути: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адвалорною ставкою;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специфічною ставкою;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комбінованою ставкою;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спеціальною ставкою;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всі відповіді правильні, окрім Г.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W w:w="10632" w:type="dxa"/>
        <w:jc w:val="left"/>
        <w:tblInd w:w="-7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26"/>
        <w:gridCol w:w="2692"/>
        <w:gridCol w:w="7514"/>
      </w:tblGrid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pageBreakBefore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160" w:leader="none"/>
              </w:tabs>
              <w:spacing w:lineRule="auto" w:line="240" w:before="0" w:after="0"/>
              <w:contextualSpacing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Акцизний податок – це: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загальнодержавний податок;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місцевий податок;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прямий податок;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непрямий податок;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правильними є відповіді А, Г.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160" w:leader="none"/>
              </w:tabs>
              <w:spacing w:lineRule="auto" w:line="240" w:before="0" w:after="0"/>
              <w:contextualSpacing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Сума акцизного податку із завезених на територію України товарів відраховується в: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державний бюджет;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місцевий бюджет;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бюджет територіальних громад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всі відповіді правильні;</w:t>
            </w:r>
          </w:p>
          <w:p>
            <w:pPr>
              <w:pStyle w:val="Normal"/>
              <w:tabs>
                <w:tab w:val="clear" w:pos="708"/>
                <w:tab w:val="left" w:pos="360" w:leader="none"/>
                <w:tab w:val="left" w:pos="720" w:leader="none"/>
              </w:tabs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немає правильної відповіді.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160" w:leader="none"/>
              </w:tabs>
              <w:spacing w:lineRule="auto" w:line="240" w:before="0" w:after="0"/>
              <w:contextualSpacing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Сума акцизного податку з товарів, виготовлених в Україні відраховується в: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державний бюджет;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місцевий бюджет;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у місцевий бюджет у співвідношенні, встановленому ВРУ;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бюджет Мінтрансу;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бюджет розвитку.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160" w:leader="none"/>
              </w:tabs>
              <w:spacing w:lineRule="auto" w:line="240" w:before="0" w:after="0"/>
              <w:contextualSpacing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До недоліків акцизного оподаткування можна віднести: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фіскальна ефективність;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легкість адміністрування;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обмеження споживання;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можливість регулювання споживання товарів;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зниження ризику ті нього товарообороту.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160" w:leader="none"/>
              </w:tabs>
              <w:spacing w:lineRule="auto" w:line="240" w:before="0" w:after="0"/>
              <w:contextualSpacing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Зростання акцизного податку призводить до: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зростання надходження до державного бюджету;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подорожчання товару;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зниження споживання товару;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зменшення обсягів виробництва;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всі відповіді правильні.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160" w:leader="none"/>
              </w:tabs>
              <w:spacing w:lineRule="auto" w:line="240" w:before="0" w:after="0"/>
              <w:contextualSpacing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Акцизний склад – це: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спеціально обладнані приміщення на обмеженій території, розташовані на митній території України, де під контролем постійних представників контролюючого органу розпорядник провадить свою господарську діяльність шляхом розливу, а також реалізації лікеро-горілчаних виробів;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територія на митній території України, де розпорядник провадить свою господарську діяльність шляхом змішування пального;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приміщення відокремлених підрозділів розпорядника, які використовуються виключно для фасування лікеро-горілчаних виробів;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паливний бак як ємність для зберігання пального безпосередньо в транспортному засобі;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правильними є відповіді А, Б.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160" w:leader="none"/>
              </w:tabs>
              <w:spacing w:lineRule="auto" w:line="240" w:before="0" w:after="0"/>
              <w:contextualSpacing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Підприємства-виробники та імпортери алкогольних напоїв і тютюнових виробів для отримання акцизних марок повинні подати: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заявку-розрахунок в електронній формі щомісяця до 10 числа;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копію платіжного документа на перерахування плати за марки з відміткою банку про дату виконання платіжного доручення;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звіт про використання марок, придбаних у попередньому місяці;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корегування заявки в бік збільшення до 20 числа місяця, в якому подано попередню заявку-розрахунок;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всі відповіді правильні.</w:t>
            </w:r>
          </w:p>
        </w:tc>
      </w:tr>
      <w:tr>
        <w:trPr/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right="-9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160" w:leader="none"/>
              </w:tabs>
              <w:spacing w:lineRule="auto" w:line="240" w:before="0" w:after="0"/>
              <w:contextualSpacing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Кожна марка акцизного податку на алкогольні напої повинна мати: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А. окремий номер за одиницю маркованої продукції;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Б. окремий місяць і рік випуску за одиницю маркованої продукції;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В. окреме позначення про суму сплаченого акцизного податку за одиницю маркованої продукції;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Г. суму акцизного податку з реалізації субʼєктами господарювання роздрібної торгівлі алкогольних напоїв;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Д. всі відповіді правильні, окрім Г.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>
          <w:lang w:val="uk-UA"/>
        </w:rPr>
      </w:pPr>
      <w:r>
        <w:rPr>
          <w:lang w:val="uk-UA"/>
        </w:rPr>
      </w:r>
    </w:p>
    <w:p>
      <w:pPr>
        <w:pStyle w:val="Normal"/>
        <w:rPr>
          <w:lang w:val="uk-UA"/>
        </w:rPr>
      </w:pPr>
      <w:r>
        <w:rPr>
          <w:lang w:val="uk-UA"/>
        </w:rPr>
      </w:r>
    </w:p>
    <w:p>
      <w:pPr>
        <w:pStyle w:val="Normal"/>
        <w:rPr>
          <w:lang w:val="uk-UA"/>
        </w:rPr>
      </w:pPr>
      <w:r>
        <w:rPr>
          <w:lang w:val="uk-UA"/>
        </w:rPr>
      </w:r>
    </w:p>
    <w:p>
      <w:pPr>
        <w:pStyle w:val="Normal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Завдання 2.</w:t>
      </w:r>
      <w:r>
        <w:rPr>
          <w:rFonts w:ascii="Times New Roman" w:hAnsi="Times New Roman"/>
          <w:sz w:val="24"/>
          <w:szCs w:val="24"/>
          <w:lang w:val="uk-UA"/>
        </w:rPr>
        <w:t xml:space="preserve"> Виконати ребуси</w:t>
      </w:r>
    </w:p>
    <w:tbl>
      <w:tblPr>
        <w:tblStyle w:val="a3"/>
        <w:tblW w:w="10031" w:type="dxa"/>
        <w:jc w:val="left"/>
        <w:tblInd w:w="-4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92"/>
        <w:gridCol w:w="7513"/>
        <w:gridCol w:w="2126"/>
      </w:tblGrid>
      <w:tr>
        <w:trPr/>
        <w:tc>
          <w:tcPr>
            <w:tcW w:w="39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kern w:val="0"/>
                <w:sz w:val="22"/>
                <w:szCs w:val="22"/>
                <w:lang w:val="en-US" w:bidi="ar-SA"/>
              </w:rPr>
              <w:t>1</w:t>
            </w:r>
          </w:p>
        </w:tc>
        <w:tc>
          <w:tcPr>
            <w:tcW w:w="751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2"/>
                <w:szCs w:val="22"/>
                <w:lang w:bidi="ar-SA"/>
              </w:rPr>
            </w:pPr>
            <w:r>
              <w:rPr>
                <w:kern w:val="0"/>
                <w:sz w:val="22"/>
                <w:szCs w:val="22"/>
                <w:lang w:bidi="ar-SA"/>
              </w:rPr>
              <w:object w:dxaOrig="5860" w:dyaOrig="2170">
                <v:shapetype id="_x0000_tole_rId5" coordsize="21600,21600" o:spt="ole_rId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" type="_x0000_tole_rId5" style="width:204pt;height:75pt;mso-wrap-distance-right:0pt" filled="f" o:ole="">
                  <v:imagedata r:id="rId6" o:title=""/>
                </v:shape>
                <o:OLEObject Type="Embed" ProgID="PBrush" ShapeID="ole_rId5" DrawAspect="Content" ObjectID="_910160818" r:id="rId5"/>
              </w:object>
            </w:r>
          </w:p>
        </w:tc>
        <w:tc>
          <w:tcPr>
            <w:tcW w:w="21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2"/>
                <w:szCs w:val="22"/>
                <w:lang w:bidi="ar-SA"/>
              </w:rPr>
            </w:pPr>
            <w:r>
              <w:rPr>
                <w:kern w:val="0"/>
                <w:sz w:val="22"/>
                <w:szCs w:val="22"/>
                <w:lang w:bidi="ar-SA"/>
              </w:rPr>
            </w:r>
          </w:p>
        </w:tc>
      </w:tr>
      <w:tr>
        <w:trPr/>
        <w:tc>
          <w:tcPr>
            <w:tcW w:w="39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kern w:val="0"/>
                <w:sz w:val="22"/>
                <w:szCs w:val="22"/>
                <w:lang w:val="en-US" w:bidi="ar-SA"/>
              </w:rPr>
              <w:t>2</w:t>
            </w:r>
          </w:p>
        </w:tc>
        <w:tc>
          <w:tcPr>
            <w:tcW w:w="751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2"/>
                <w:szCs w:val="22"/>
                <w:lang w:bidi="ar-SA"/>
              </w:rPr>
            </w:pPr>
            <w:r>
              <w:rPr>
                <w:kern w:val="0"/>
                <w:sz w:val="22"/>
                <w:szCs w:val="22"/>
                <w:lang w:bidi="ar-SA"/>
              </w:rPr>
              <w:object w:dxaOrig="3260" w:dyaOrig="2220">
                <v:shapetype id="_x0000_tole_rId7" coordsize="21600,21600" o:spt="ole_rId7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" type="_x0000_tole_rId7" style="width:104.25pt;height:72pt;mso-wrap-distance-right:0pt" filled="f" o:ole="">
                  <v:imagedata r:id="rId8" o:title=""/>
                </v:shape>
                <o:OLEObject Type="Embed" ProgID="PBrush" ShapeID="ole_rId7" DrawAspect="Content" ObjectID="_1949654937" r:id="rId7"/>
              </w:object>
            </w:r>
          </w:p>
        </w:tc>
        <w:tc>
          <w:tcPr>
            <w:tcW w:w="21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2"/>
                <w:szCs w:val="22"/>
                <w:lang w:bidi="ar-SA"/>
              </w:rPr>
            </w:pPr>
            <w:r>
              <w:rPr>
                <w:kern w:val="0"/>
                <w:sz w:val="22"/>
                <w:szCs w:val="22"/>
                <w:lang w:bidi="ar-SA"/>
              </w:rPr>
            </w:r>
          </w:p>
        </w:tc>
      </w:tr>
      <w:tr>
        <w:trPr/>
        <w:tc>
          <w:tcPr>
            <w:tcW w:w="39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kern w:val="0"/>
                <w:sz w:val="22"/>
                <w:szCs w:val="22"/>
                <w:lang w:val="en-US" w:bidi="ar-SA"/>
              </w:rPr>
              <w:t>3</w:t>
            </w:r>
          </w:p>
        </w:tc>
        <w:tc>
          <w:tcPr>
            <w:tcW w:w="751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2"/>
                <w:szCs w:val="22"/>
                <w:lang w:bidi="ar-SA"/>
              </w:rPr>
            </w:pPr>
            <w:r>
              <w:rPr>
                <w:kern w:val="0"/>
                <w:sz w:val="22"/>
                <w:szCs w:val="22"/>
                <w:lang w:bidi="ar-SA"/>
              </w:rPr>
              <w:object w:dxaOrig="6080" w:dyaOrig="2190">
                <v:shapetype id="_x0000_tole_rId9" coordsize="21600,21600" o:spt="ole_rId9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" type="_x0000_tole_rId9" style="width:247.5pt;height:89.25pt;mso-wrap-distance-right:0pt" filled="f" o:ole="">
                  <v:imagedata r:id="rId10" o:title=""/>
                </v:shape>
                <o:OLEObject Type="Embed" ProgID="PBrush" ShapeID="ole_rId9" DrawAspect="Content" ObjectID="_1118715058" r:id="rId9"/>
              </w:object>
            </w:r>
          </w:p>
        </w:tc>
        <w:tc>
          <w:tcPr>
            <w:tcW w:w="21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2"/>
                <w:szCs w:val="22"/>
                <w:lang w:bidi="ar-SA"/>
              </w:rPr>
            </w:pPr>
            <w:r>
              <w:rPr>
                <w:kern w:val="0"/>
                <w:sz w:val="22"/>
                <w:szCs w:val="22"/>
                <w:lang w:bidi="ar-SA"/>
              </w:rPr>
            </w:r>
          </w:p>
        </w:tc>
      </w:tr>
      <w:tr>
        <w:trPr/>
        <w:tc>
          <w:tcPr>
            <w:tcW w:w="39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kern w:val="0"/>
                <w:sz w:val="22"/>
                <w:szCs w:val="22"/>
                <w:lang w:val="en-US" w:bidi="ar-SA"/>
              </w:rPr>
              <w:t>4</w:t>
            </w:r>
          </w:p>
        </w:tc>
        <w:tc>
          <w:tcPr>
            <w:tcW w:w="751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2"/>
                <w:szCs w:val="22"/>
                <w:lang w:bidi="ar-SA"/>
              </w:rPr>
            </w:pPr>
            <w:r>
              <w:rPr>
                <w:kern w:val="0"/>
                <w:sz w:val="22"/>
                <w:szCs w:val="22"/>
                <w:lang w:bidi="ar-SA"/>
              </w:rPr>
              <w:object w:dxaOrig="3820" w:dyaOrig="2130">
                <v:shapetype id="_x0000_tole_rId11" coordsize="21600,21600" o:spt="ole_rId11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" type="_x0000_tole_rId11" style="width:146.25pt;height:81.75pt;mso-wrap-distance-right:0pt" filled="f" o:ole="">
                  <v:imagedata r:id="rId12" o:title=""/>
                </v:shape>
                <o:OLEObject Type="Embed" ProgID="PBrush" ShapeID="ole_rId11" DrawAspect="Content" ObjectID="_1635254015" r:id="rId11"/>
              </w:object>
            </w:r>
          </w:p>
        </w:tc>
        <w:tc>
          <w:tcPr>
            <w:tcW w:w="21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2"/>
                <w:szCs w:val="22"/>
                <w:lang w:bidi="ar-SA"/>
              </w:rPr>
            </w:pPr>
            <w:r>
              <w:rPr>
                <w:kern w:val="0"/>
                <w:sz w:val="22"/>
                <w:szCs w:val="22"/>
                <w:lang w:bidi="ar-SA"/>
              </w:rPr>
            </w:r>
          </w:p>
        </w:tc>
      </w:tr>
      <w:tr>
        <w:trPr/>
        <w:tc>
          <w:tcPr>
            <w:tcW w:w="39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kern w:val="0"/>
                <w:sz w:val="22"/>
                <w:szCs w:val="22"/>
                <w:lang w:val="en-US" w:bidi="ar-SA"/>
              </w:rPr>
              <w:t>5</w:t>
            </w:r>
          </w:p>
        </w:tc>
        <w:tc>
          <w:tcPr>
            <w:tcW w:w="751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kern w:val="0"/>
                <w:sz w:val="22"/>
                <w:szCs w:val="22"/>
                <w:lang w:bidi="ar-SA"/>
              </w:rPr>
              <w:object w:dxaOrig="4270" w:dyaOrig="2100">
                <v:shapetype id="_x0000_tole_rId13" coordsize="21600,21600" o:spt="ole_rId13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" type="_x0000_tole_rId13" style="width:162pt;height:80.25pt;mso-wrap-distance-right:0pt" filled="f" o:ole="">
                  <v:imagedata r:id="rId14" o:title=""/>
                </v:shape>
                <o:OLEObject Type="Embed" ProgID="PBrush" ShapeID="ole_rId13" DrawAspect="Content" ObjectID="_447065754" r:id="rId13"/>
              </w:objec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kern w:val="0"/>
                <w:sz w:val="22"/>
                <w:szCs w:val="22"/>
                <w:lang w:bidi="ar-SA"/>
              </w:rPr>
              <w:object w:dxaOrig="5920" w:dyaOrig="2340">
                <v:shapetype id="_x0000_tole_rId15" coordsize="21600,21600" o:spt="ole_rId1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" type="_x0000_tole_rId15" style="width:192.75pt;height:76.5pt;mso-wrap-distance-right:0pt" filled="f" o:ole="">
                  <v:imagedata r:id="rId16" o:title=""/>
                </v:shape>
                <o:OLEObject Type="Embed" ProgID="PBrush" ShapeID="ole_rId15" DrawAspect="Content" ObjectID="_1994713914" r:id="rId15"/>
              </w:object>
            </w:r>
            <w:r>
              <w:rPr>
                <w:kern w:val="0"/>
                <w:sz w:val="22"/>
                <w:szCs w:val="22"/>
                <w:lang w:val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bidi="ar-SA"/>
              </w:rPr>
              <w:object w:dxaOrig="3430" w:dyaOrig="2180">
                <v:shapetype id="_x0000_tole_rId17" coordsize="21600,21600" o:spt="ole_rId17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" type="_x0000_tole_rId17" style="width:114pt;height:72.75pt;mso-wrap-distance-right:0pt" filled="f" o:ole="">
                  <v:imagedata r:id="rId18" o:title=""/>
                </v:shape>
                <o:OLEObject Type="Embed" ProgID="PBrush" ShapeID="ole_rId17" DrawAspect="Content" ObjectID="_2079537824" r:id="rId17"/>
              </w:object>
            </w:r>
          </w:p>
        </w:tc>
        <w:tc>
          <w:tcPr>
            <w:tcW w:w="21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2"/>
                <w:szCs w:val="22"/>
                <w:lang w:bidi="ar-SA"/>
              </w:rPr>
            </w:pPr>
            <w:r>
              <w:rPr>
                <w:kern w:val="0"/>
                <w:sz w:val="22"/>
                <w:szCs w:val="22"/>
                <w:lang w:bidi="ar-SA"/>
              </w:rPr>
            </w:r>
          </w:p>
        </w:tc>
      </w:tr>
      <w:tr>
        <w:trPr/>
        <w:tc>
          <w:tcPr>
            <w:tcW w:w="39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uk-UA"/>
              </w:rPr>
            </w:pPr>
            <w:r>
              <w:rPr>
                <w:kern w:val="0"/>
                <w:sz w:val="22"/>
                <w:szCs w:val="22"/>
                <w:lang w:val="uk-UA" w:bidi="ar-SA"/>
              </w:rPr>
              <w:t>6</w:t>
            </w:r>
          </w:p>
        </w:tc>
        <w:tc>
          <w:tcPr>
            <w:tcW w:w="751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2"/>
                <w:szCs w:val="22"/>
                <w:lang w:bidi="ar-SA"/>
              </w:rPr>
            </w:pPr>
            <w:r>
              <w:rPr>
                <w:kern w:val="0"/>
                <w:sz w:val="22"/>
                <w:szCs w:val="22"/>
                <w:lang w:bidi="ar-SA"/>
              </w:rPr>
              <w:object w:dxaOrig="4100" w:dyaOrig="2540">
                <v:shapetype id="_x0000_tole_rId19" coordsize="21600,21600" o:spt="ole_rId19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" type="_x0000_tole_rId19" style="width:144.75pt;height:90pt;mso-wrap-distance-right:0pt" filled="f" o:ole="">
                  <v:imagedata r:id="rId20" o:title=""/>
                </v:shape>
                <o:OLEObject Type="Embed" ProgID="PBrush" ShapeID="ole_rId19" DrawAspect="Content" ObjectID="_1334393771" r:id="rId19"/>
              </w:object>
            </w:r>
          </w:p>
        </w:tc>
        <w:tc>
          <w:tcPr>
            <w:tcW w:w="21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2"/>
                <w:szCs w:val="22"/>
                <w:lang w:bidi="ar-SA"/>
              </w:rPr>
            </w:pPr>
            <w:r>
              <w:rPr>
                <w:kern w:val="0"/>
                <w:sz w:val="22"/>
                <w:szCs w:val="22"/>
                <w:lang w:bidi="ar-SA"/>
              </w:rPr>
            </w:r>
          </w:p>
        </w:tc>
      </w:tr>
      <w:tr>
        <w:trPr/>
        <w:tc>
          <w:tcPr>
            <w:tcW w:w="39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uk-UA"/>
              </w:rPr>
            </w:pPr>
            <w:r>
              <w:rPr>
                <w:kern w:val="0"/>
                <w:sz w:val="22"/>
                <w:szCs w:val="22"/>
                <w:lang w:val="uk-UA" w:bidi="ar-SA"/>
              </w:rPr>
              <w:t>7</w:t>
            </w:r>
          </w:p>
        </w:tc>
        <w:tc>
          <w:tcPr>
            <w:tcW w:w="751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2"/>
                <w:szCs w:val="22"/>
                <w:lang w:bidi="ar-SA"/>
              </w:rPr>
            </w:pPr>
            <w:r>
              <w:rPr>
                <w:kern w:val="0"/>
                <w:sz w:val="22"/>
                <w:szCs w:val="22"/>
                <w:lang w:bidi="ar-SA"/>
              </w:rPr>
              <w:object w:dxaOrig="7290" w:dyaOrig="2200">
                <v:shapetype id="_x0000_tole_rId21" coordsize="21600,21600" o:spt="ole_rId21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1" type="_x0000_tole_rId21" style="width:321.75pt;height:97.5pt;mso-wrap-distance-right:0pt" filled="f" o:ole="">
                  <v:imagedata r:id="rId22" o:title=""/>
                </v:shape>
                <o:OLEObject Type="Embed" ProgID="PBrush" ShapeID="ole_rId21" DrawAspect="Content" ObjectID="_865130342" r:id="rId21"/>
              </w:object>
            </w:r>
          </w:p>
        </w:tc>
        <w:tc>
          <w:tcPr>
            <w:tcW w:w="21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2"/>
                <w:szCs w:val="22"/>
                <w:lang w:bidi="ar-SA"/>
              </w:rPr>
            </w:pPr>
            <w:r>
              <w:rPr>
                <w:kern w:val="0"/>
                <w:sz w:val="22"/>
                <w:szCs w:val="22"/>
                <w:lang w:bidi="ar-SA"/>
              </w:rPr>
            </w:r>
          </w:p>
        </w:tc>
      </w:tr>
    </w:tbl>
    <w:p>
      <w:pPr>
        <w:pStyle w:val="Normal"/>
        <w:spacing w:before="0" w:after="20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</w:r>
    </w:p>
    <w:sectPr>
      <w:headerReference w:type="even" r:id="rId23"/>
      <w:headerReference w:type="default" r:id="rId24"/>
      <w:headerReference w:type="first" r:id="rId25"/>
      <w:type w:val="nextPage"/>
      <w:pgSz w:w="11906" w:h="16838"/>
      <w:pgMar w:left="1701" w:right="567" w:gutter="0" w:header="709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right"/>
      <w:rPr>
        <w:lang w:val="uk-UA"/>
      </w:rPr>
    </w:pPr>
    <w:r>
      <w:rPr>
        <w:lang w:val="uk-UA"/>
      </w:rPr>
      <w:t>Тема: АКЦИЗНИЙ ПОДАТОК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right"/>
      <w:rPr>
        <w:lang w:val="uk-UA"/>
      </w:rPr>
    </w:pPr>
    <w:r>
      <w:rPr>
        <w:lang w:val="uk-UA"/>
      </w:rPr>
      <w:t>Тема: АКЦИЗНИЙ ПОДАТОК</w: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</w:compat>
  <w:themeFontLang w:val="uk-UA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宋体" w:cs="" w:asciiTheme="minorHAnsi" w:cstheme="minorBidi" w:eastAsiaTheme="minorEastAsia" w:hAnsiTheme="minorHAnsi"/>
        <w:sz w:val="22"/>
        <w:szCs w:val="22"/>
        <w:lang w:val="uk-UA" w:eastAsia="zh-CN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96ec6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a96ec6"/>
    <w:rPr>
      <w:rFonts w:ascii="Tahoma" w:hAnsi="Tahoma" w:eastAsia="Times New Roman" w:cs="Tahoma"/>
      <w:sz w:val="16"/>
      <w:szCs w:val="16"/>
      <w:lang w:val="ru-RU" w:eastAsia="ru-RU"/>
    </w:rPr>
  </w:style>
  <w:style w:type="character" w:styleId="Style15" w:customStyle="1">
    <w:name w:val="Верхний колонтитул Знак"/>
    <w:basedOn w:val="DefaultParagraphFont"/>
    <w:uiPriority w:val="99"/>
    <w:qFormat/>
    <w:rsid w:val="00534ffd"/>
    <w:rPr>
      <w:rFonts w:ascii="Calibri" w:hAnsi="Calibri" w:eastAsia="Times New Roman" w:cs="Times New Roman"/>
      <w:lang w:val="ru-RU" w:eastAsia="ru-RU"/>
    </w:rPr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34ffd"/>
    <w:rPr>
      <w:rFonts w:ascii="Calibri" w:hAnsi="Calibri" w:eastAsia="Times New Roman" w:cs="Times New Roman"/>
      <w:lang w:val="ru-RU" w:eastAsia="ru-RU"/>
    </w:rPr>
  </w:style>
  <w:style w:type="character" w:styleId="Hyperlink">
    <w:name w:val="Hyperlink"/>
    <w:rPr>
      <w:color w:val="000080"/>
      <w:u w:val="single"/>
    </w:rPr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Покажчик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a96ec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5"/>
    <w:uiPriority w:val="99"/>
    <w:unhideWhenUsed/>
    <w:rsid w:val="00534ffd"/>
    <w:pPr>
      <w:tabs>
        <w:tab w:val="clear" w:pos="708"/>
        <w:tab w:val="center" w:pos="4819" w:leader="none"/>
        <w:tab w:val="right" w:pos="963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6"/>
    <w:uiPriority w:val="99"/>
    <w:semiHidden/>
    <w:unhideWhenUsed/>
    <w:rsid w:val="00534ffd"/>
    <w:pPr>
      <w:tabs>
        <w:tab w:val="clear" w:pos="708"/>
        <w:tab w:val="center" w:pos="4819" w:leader="none"/>
        <w:tab w:val="right" w:pos="9639" w:leader="none"/>
      </w:tabs>
      <w:spacing w:lineRule="auto" w:line="240" w:before="0" w:after="0"/>
    </w:pPr>
    <w:rPr/>
  </w:style>
  <w:style w:type="numbering" w:styleId="Style19" w:default="1">
    <w:name w:val="Без маркерів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96ec6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zakon.rada.gov.ua/laws/show/431-2012-&#1087;" TargetMode="External"/><Relationship Id="rId3" Type="http://schemas.openxmlformats.org/officeDocument/2006/relationships/hyperlink" Target="http://zakon.rada.gov.ua/laws/show/431-2012-&#1087;" TargetMode="External"/><Relationship Id="rId4" Type="http://schemas.openxmlformats.org/officeDocument/2006/relationships/hyperlink" Target="http://zakon.rada.gov.ua/laws/show/431-2012-&#1087;" TargetMode="External"/><Relationship Id="rId5" Type="http://schemas.openxmlformats.org/officeDocument/2006/relationships/oleObject" Target="embeddings/oleObject1.bin"/><Relationship Id="rId6" Type="http://schemas.openxmlformats.org/officeDocument/2006/relationships/image" Target="media/image1.png"/><Relationship Id="rId7" Type="http://schemas.openxmlformats.org/officeDocument/2006/relationships/oleObject" Target="embeddings/oleObject2.bin"/><Relationship Id="rId8" Type="http://schemas.openxmlformats.org/officeDocument/2006/relationships/image" Target="media/image2.png"/><Relationship Id="rId9" Type="http://schemas.openxmlformats.org/officeDocument/2006/relationships/oleObject" Target="embeddings/oleObject3.bin"/><Relationship Id="rId10" Type="http://schemas.openxmlformats.org/officeDocument/2006/relationships/image" Target="media/image3.png"/><Relationship Id="rId11" Type="http://schemas.openxmlformats.org/officeDocument/2006/relationships/oleObject" Target="embeddings/oleObject4.bin"/><Relationship Id="rId12" Type="http://schemas.openxmlformats.org/officeDocument/2006/relationships/image" Target="media/image4.png"/><Relationship Id="rId13" Type="http://schemas.openxmlformats.org/officeDocument/2006/relationships/oleObject" Target="embeddings/oleObject5.bin"/><Relationship Id="rId14" Type="http://schemas.openxmlformats.org/officeDocument/2006/relationships/image" Target="media/image5.png"/><Relationship Id="rId15" Type="http://schemas.openxmlformats.org/officeDocument/2006/relationships/oleObject" Target="embeddings/oleObject6.bin"/><Relationship Id="rId16" Type="http://schemas.openxmlformats.org/officeDocument/2006/relationships/image" Target="media/image6.png"/><Relationship Id="rId17" Type="http://schemas.openxmlformats.org/officeDocument/2006/relationships/oleObject" Target="embeddings/oleObject7.bin"/><Relationship Id="rId18" Type="http://schemas.openxmlformats.org/officeDocument/2006/relationships/image" Target="media/image7.png"/><Relationship Id="rId19" Type="http://schemas.openxmlformats.org/officeDocument/2006/relationships/oleObject" Target="embeddings/oleObject8.bin"/><Relationship Id="rId20" Type="http://schemas.openxmlformats.org/officeDocument/2006/relationships/image" Target="media/image8.png"/><Relationship Id="rId21" Type="http://schemas.openxmlformats.org/officeDocument/2006/relationships/oleObject" Target="embeddings/oleObject9.bin"/><Relationship Id="rId22" Type="http://schemas.openxmlformats.org/officeDocument/2006/relationships/image" Target="media/image9.png"/><Relationship Id="rId23" Type="http://schemas.openxmlformats.org/officeDocument/2006/relationships/header" Target="header1.xml"/><Relationship Id="rId24" Type="http://schemas.openxmlformats.org/officeDocument/2006/relationships/header" Target="header2.xml"/><Relationship Id="rId25" Type="http://schemas.openxmlformats.org/officeDocument/2006/relationships/header" Target="header3.xml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Application>LibreOffice/24.8.0.3$Windows_X86_64 LibreOffice_project/0bdf1299c94fe897b119f97f3c613e9dca6be583</Application>
  <AppVersion>15.0000</AppVersion>
  <Pages>4</Pages>
  <Words>1432</Words>
  <Characters>9545</Characters>
  <CharactersWithSpaces>10740</CharactersWithSpaces>
  <Paragraphs>250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2020-12-01T05:51:00Z</dcterms:created>
  <dc:creator>User</dc:creator>
  <dc:description/>
  <dc:language>uk-UA</dc:language>
  <cp:lastModifiedBy>User</cp:lastModifiedBy>
  <dcterms:modified xsi:type="dcterms:W3CDTF">2020-12-01T06:18:00Z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