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1"/>
        <w:gridCol w:w="4638"/>
      </w:tblGrid>
      <w:tr w:rsidR="007B5B6E" w:rsidRPr="00A931E2" w:rsidTr="009C64A7">
        <w:tc>
          <w:tcPr>
            <w:tcW w:w="5001" w:type="dxa"/>
          </w:tcPr>
          <w:p w:rsidR="007B5B6E" w:rsidRPr="00A931E2" w:rsidRDefault="007B5B6E" w:rsidP="009C64A7">
            <w:pPr>
              <w:spacing w:after="75"/>
              <w:jc w:val="center"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uk-UA"/>
              </w:rPr>
            </w:pPr>
            <w:r>
              <w:rPr>
                <w:noProof/>
              </w:rPr>
              <w:drawing>
                <wp:inline distT="0" distB="0" distL="0" distR="0">
                  <wp:extent cx="2642152" cy="1933575"/>
                  <wp:effectExtent l="19050" t="0" r="5798" b="0"/>
                  <wp:docPr id="4" name="Рисунок 4" descr="Порядок застосування міжнародного договору про уникненн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рядок застосування міжнародного договору про уникненн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152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  <w:vAlign w:val="center"/>
          </w:tcPr>
          <w:p w:rsidR="007B5B6E" w:rsidRPr="00A931E2" w:rsidRDefault="007B5B6E" w:rsidP="009C64A7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uk-UA"/>
              </w:rPr>
            </w:pPr>
            <w:r w:rsidRPr="00A931E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uk-UA"/>
              </w:rPr>
              <w:t xml:space="preserve">Тема: </w:t>
            </w:r>
            <w:r w:rsidRPr="00A931E2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ІЖНАРОДНЕ ОПОДАТКУВАННЯ</w:t>
            </w:r>
          </w:p>
          <w:p w:rsidR="007B5B6E" w:rsidRPr="00A931E2" w:rsidRDefault="007B5B6E" w:rsidP="007B5B6E">
            <w:pPr>
              <w:spacing w:before="285" w:after="31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uk-UA"/>
              </w:rPr>
            </w:pPr>
          </w:p>
        </w:tc>
      </w:tr>
    </w:tbl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left="1134"/>
        <w:jc w:val="both"/>
        <w:rPr>
          <w:rFonts w:ascii="Times New Roman" w:eastAsia="TimesNewRomanPSMT-Identity-H" w:hAnsi="Times New Roman" w:cs="Times New Roman"/>
          <w:i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i/>
          <w:sz w:val="28"/>
          <w:szCs w:val="28"/>
        </w:rPr>
        <w:t>1. Податкові системи іноземних держав, їх складові та</w:t>
      </w:r>
      <w:r w:rsidRPr="00E35AD5">
        <w:rPr>
          <w:rFonts w:ascii="Times New Roman" w:eastAsia="TimesNewRomanPSMT-Identity-H" w:hAnsi="Times New Roman" w:cs="Times New Roman"/>
          <w:i/>
          <w:sz w:val="28"/>
          <w:szCs w:val="28"/>
          <w:lang w:val="ru-RU"/>
        </w:rPr>
        <w:t xml:space="preserve"> </w:t>
      </w:r>
      <w:r w:rsidRPr="00E35AD5">
        <w:rPr>
          <w:rFonts w:ascii="Times New Roman" w:eastAsia="TimesNewRomanPSMT-Identity-H" w:hAnsi="Times New Roman" w:cs="Times New Roman"/>
          <w:i/>
          <w:sz w:val="28"/>
          <w:szCs w:val="28"/>
        </w:rPr>
        <w:t>особливості.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left="1134"/>
        <w:jc w:val="both"/>
        <w:rPr>
          <w:rFonts w:ascii="Times New Roman" w:eastAsia="TimesNewRomanPSMT-Identity-H" w:hAnsi="Times New Roman" w:cs="Times New Roman"/>
          <w:i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i/>
          <w:sz w:val="28"/>
          <w:szCs w:val="28"/>
        </w:rPr>
        <w:t>2. Особливості оподаткування унітарних держав (Бельгія,</w:t>
      </w:r>
      <w:r w:rsidRPr="00E35AD5">
        <w:rPr>
          <w:rFonts w:ascii="Times New Roman" w:eastAsia="TimesNewRomanPSMT-Identity-H" w:hAnsi="Times New Roman" w:cs="Times New Roman"/>
          <w:i/>
          <w:sz w:val="28"/>
          <w:szCs w:val="28"/>
          <w:lang w:val="ru-RU"/>
        </w:rPr>
        <w:t xml:space="preserve"> </w:t>
      </w:r>
      <w:r w:rsidRPr="00E35AD5">
        <w:rPr>
          <w:rFonts w:ascii="Times New Roman" w:eastAsia="TimesNewRomanPSMT-Identity-H" w:hAnsi="Times New Roman" w:cs="Times New Roman"/>
          <w:i/>
          <w:sz w:val="28"/>
          <w:szCs w:val="28"/>
        </w:rPr>
        <w:t>Японія).</w:t>
      </w:r>
    </w:p>
    <w:p w:rsidR="007B5B6E" w:rsidRPr="00E35AD5" w:rsidRDefault="006A1ED1" w:rsidP="00E35AD5">
      <w:pPr>
        <w:autoSpaceDE w:val="0"/>
        <w:autoSpaceDN w:val="0"/>
        <w:adjustRightInd w:val="0"/>
        <w:spacing w:after="0" w:line="312" w:lineRule="auto"/>
        <w:ind w:left="1134"/>
        <w:jc w:val="both"/>
        <w:rPr>
          <w:rFonts w:ascii="Times New Roman" w:eastAsia="TimesNewRomanPSMT-Identity-H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NewRomanPSMT-Identity-H" w:hAnsi="Times New Roman" w:cs="Times New Roman"/>
          <w:i/>
          <w:sz w:val="28"/>
          <w:szCs w:val="28"/>
        </w:rPr>
        <w:t>3. </w:t>
      </w:r>
      <w:r w:rsidR="00E35AD5" w:rsidRPr="00E35AD5">
        <w:rPr>
          <w:rFonts w:ascii="Times New Roman" w:eastAsia="TimesNewRomanPSMT-Identity-H" w:hAnsi="Times New Roman" w:cs="Times New Roman"/>
          <w:i/>
          <w:sz w:val="28"/>
          <w:szCs w:val="28"/>
        </w:rPr>
        <w:t>Основні тенденції розвитку податкових систем промислово</w:t>
      </w:r>
      <w:r w:rsidR="00E35AD5" w:rsidRPr="00E35AD5">
        <w:rPr>
          <w:rFonts w:ascii="Times New Roman" w:eastAsia="TimesNewRomanPSMT-Identity-H" w:hAnsi="Times New Roman" w:cs="Times New Roman"/>
          <w:i/>
          <w:sz w:val="28"/>
          <w:szCs w:val="28"/>
          <w:lang w:val="ru-RU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i/>
          <w:sz w:val="28"/>
          <w:szCs w:val="28"/>
        </w:rPr>
        <w:t>розвинутих країн.</w:t>
      </w:r>
    </w:p>
    <w:p w:rsidR="00E35AD5" w:rsidRPr="00E35AD5" w:rsidRDefault="00E35AD5" w:rsidP="00E35AD5">
      <w:pPr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  <w:lang w:val="ru-RU"/>
        </w:rPr>
      </w:pPr>
    </w:p>
    <w:p w:rsidR="00E35AD5" w:rsidRPr="001C7376" w:rsidRDefault="00E35AD5" w:rsidP="002200F9">
      <w:pPr>
        <w:pStyle w:val="a6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center"/>
        <w:rPr>
          <w:rFonts w:ascii="Times New Roman" w:eastAsia="TimesNewRomanPS-BoldMT-Identity" w:hAnsi="Times New Roman" w:cs="Times New Roman"/>
          <w:b/>
          <w:bCs/>
          <w:sz w:val="28"/>
          <w:szCs w:val="28"/>
        </w:rPr>
      </w:pPr>
      <w:r w:rsidRPr="001C7376">
        <w:rPr>
          <w:rFonts w:ascii="Times New Roman" w:eastAsia="TimesNewRomanPS-BoldMT-Identity" w:hAnsi="Times New Roman" w:cs="Times New Roman"/>
          <w:b/>
          <w:bCs/>
          <w:sz w:val="28"/>
          <w:szCs w:val="28"/>
        </w:rPr>
        <w:t>ПОДАТКОВІ СИСТЕМИ ІНОЗЕМНИХ ДЕРЖАВ ЇХ</w:t>
      </w:r>
      <w:r w:rsidR="001C7376">
        <w:rPr>
          <w:rFonts w:ascii="Times New Roman" w:eastAsia="TimesNewRomanPS-BoldMT-Identity" w:hAnsi="Times New Roman" w:cs="Times New Roman"/>
          <w:b/>
          <w:bCs/>
          <w:sz w:val="28"/>
          <w:szCs w:val="28"/>
        </w:rPr>
        <w:t xml:space="preserve"> </w:t>
      </w:r>
      <w:r w:rsidRPr="001C7376">
        <w:rPr>
          <w:rFonts w:ascii="Times New Roman" w:eastAsia="TimesNewRomanPS-BoldMT-Identity" w:hAnsi="Times New Roman" w:cs="Times New Roman"/>
          <w:b/>
          <w:bCs/>
          <w:sz w:val="28"/>
          <w:szCs w:val="28"/>
        </w:rPr>
        <w:t>СКЛАДОВІ ТА ОСОБЛИВОСТІ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Кожна країна світу має свою податкову систему, яка має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особливості, як у методиці обчислення, стягнення, так і в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пільгах, які надаються. В кожній державі діє різна кількість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податкових платежів. Але в більшості країн Західної Європи,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Америки, Азії діють податки, які є головними в кожній з них.</w:t>
      </w:r>
    </w:p>
    <w:p w:rsidR="002200F9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До таких податків відносяться </w:t>
      </w:r>
    </w:p>
    <w:p w:rsidR="002200F9" w:rsidRPr="002200F9" w:rsidRDefault="00E35AD5" w:rsidP="002200F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200F9">
        <w:rPr>
          <w:rFonts w:ascii="Times New Roman" w:eastAsia="TimesNewRomanPSMT-Identity-H" w:hAnsi="Times New Roman" w:cs="Times New Roman"/>
          <w:sz w:val="28"/>
          <w:szCs w:val="28"/>
        </w:rPr>
        <w:t>Податок на додану вартість</w:t>
      </w:r>
      <w:r w:rsidR="002200F9" w:rsidRP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(ПДВ), </w:t>
      </w:r>
    </w:p>
    <w:p w:rsidR="002200F9" w:rsidRPr="002200F9" w:rsidRDefault="00E35AD5" w:rsidP="002200F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Акцизний збір, </w:t>
      </w:r>
    </w:p>
    <w:p w:rsidR="002200F9" w:rsidRPr="002200F9" w:rsidRDefault="00E35AD5" w:rsidP="002200F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Податок на прибуток, </w:t>
      </w:r>
    </w:p>
    <w:p w:rsidR="002200F9" w:rsidRPr="002200F9" w:rsidRDefault="00E35AD5" w:rsidP="002200F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200F9">
        <w:rPr>
          <w:rFonts w:ascii="Times New Roman" w:eastAsia="TimesNewRomanPSMT-Identity-H" w:hAnsi="Times New Roman" w:cs="Times New Roman"/>
          <w:sz w:val="28"/>
          <w:szCs w:val="28"/>
        </w:rPr>
        <w:t>Прибутковий</w:t>
      </w:r>
      <w:r w:rsidR="002200F9" w:rsidRP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2200F9">
        <w:rPr>
          <w:rFonts w:ascii="Times New Roman" w:eastAsia="TimesNewRomanPSMT-Identity-H" w:hAnsi="Times New Roman" w:cs="Times New Roman"/>
          <w:sz w:val="28"/>
          <w:szCs w:val="28"/>
        </w:rPr>
        <w:t>податок з громадян</w:t>
      </w:r>
    </w:p>
    <w:p w:rsidR="00E35AD5" w:rsidRPr="002200F9" w:rsidRDefault="00E35AD5" w:rsidP="002200F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200F9">
        <w:rPr>
          <w:rFonts w:ascii="Times New Roman" w:eastAsia="TimesNewRomanPSMT-Identity-H" w:hAnsi="Times New Roman" w:cs="Times New Roman"/>
          <w:sz w:val="28"/>
          <w:szCs w:val="28"/>
        </w:rPr>
        <w:t>Податок на нетрудові доходи.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Ще у 1980-і рр. намітився процес зближення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національних податкових систем розвинутих країн світу як за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структурою оподаткування, так і по основних напрямках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реформування. А економічна інтеграція, розширення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міжнародних господарських зв'язків, прагнення уникнути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подвійного оподаткування сприяють цьому процесу. Тенденція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 уніфікації і гармонізації податкової політики стала ведучої в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країнах - членах ЄС.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Загальну тенденцію у формуванні системи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 в промислово розвинутих країнах можна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виразити приблизно так: у раціональному оподаткуванні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потрібно уникати методів і форм, які заважають накопиченню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багатства всіма учасниками відтворювального процесу.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Зрозуміло, у кожній окремій країні ця система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формується під впливом специфічних, конкретних історичних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умов (економіко-географічних, політичних, релігійних), які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визначають її довгостроковий розвиток. Тому податкові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системи різних країн, навіть у рамках західноєвропейського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регіону, розрізняються між собою, хоча прискорений розвиток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інтеграційних процесів привів до деякого зближення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податкового законодавства в країнах Європейського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Співтовариства. Тобто, у цих країнах склалася багаторівнева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система стягування податків.</w:t>
      </w:r>
    </w:p>
    <w:p w:rsidR="002200F9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Отже, </w:t>
      </w:r>
      <w:r w:rsidRPr="002200F9">
        <w:rPr>
          <w:rFonts w:ascii="Times New Roman" w:eastAsia="TimesNewRomanPSMT-Identity-H" w:hAnsi="Times New Roman" w:cs="Times New Roman"/>
          <w:b/>
          <w:sz w:val="28"/>
          <w:szCs w:val="28"/>
          <w:u w:val="single"/>
        </w:rPr>
        <w:t>податкові системи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мають </w:t>
      </w:r>
      <w:proofErr w:type="spellStart"/>
      <w:r w:rsidRPr="002200F9">
        <w:rPr>
          <w:rFonts w:ascii="Times New Roman" w:eastAsia="TimesNewRomanPSMT-Identity-H" w:hAnsi="Times New Roman" w:cs="Times New Roman"/>
          <w:b/>
          <w:sz w:val="28"/>
          <w:szCs w:val="28"/>
          <w:u w:val="single"/>
        </w:rPr>
        <w:t>двох-</w:t>
      </w:r>
      <w:proofErr w:type="spellEnd"/>
      <w:r w:rsidRPr="002200F9">
        <w:rPr>
          <w:rFonts w:ascii="Times New Roman" w:eastAsia="TimesNewRomanPSMT-Identity-H" w:hAnsi="Times New Roman" w:cs="Times New Roman"/>
          <w:b/>
          <w:sz w:val="28"/>
          <w:szCs w:val="28"/>
          <w:u w:val="single"/>
        </w:rPr>
        <w:t xml:space="preserve"> чи </w:t>
      </w:r>
      <w:proofErr w:type="spellStart"/>
      <w:r w:rsidRPr="002200F9">
        <w:rPr>
          <w:rFonts w:ascii="Times New Roman" w:eastAsia="TimesNewRomanPSMT-Identity-H" w:hAnsi="Times New Roman" w:cs="Times New Roman"/>
          <w:b/>
          <w:sz w:val="28"/>
          <w:szCs w:val="28"/>
          <w:u w:val="single"/>
        </w:rPr>
        <w:t>трирівневу</w:t>
      </w:r>
      <w:proofErr w:type="spellEnd"/>
      <w:r w:rsidR="002200F9" w:rsidRPr="002200F9">
        <w:rPr>
          <w:rFonts w:ascii="Times New Roman" w:eastAsia="TimesNewRomanPSMT-Identity-H" w:hAnsi="Times New Roman" w:cs="Times New Roman"/>
          <w:b/>
          <w:sz w:val="28"/>
          <w:szCs w:val="28"/>
          <w:u w:val="single"/>
        </w:rPr>
        <w:t xml:space="preserve"> </w:t>
      </w:r>
      <w:r w:rsidRPr="002200F9">
        <w:rPr>
          <w:rFonts w:ascii="Times New Roman" w:eastAsia="TimesNewRomanPSMT-Identity-H" w:hAnsi="Times New Roman" w:cs="Times New Roman"/>
          <w:b/>
          <w:sz w:val="28"/>
          <w:szCs w:val="28"/>
          <w:u w:val="single"/>
        </w:rPr>
        <w:t>структуру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. </w:t>
      </w:r>
    </w:p>
    <w:p w:rsidR="002200F9" w:rsidRPr="002200F9" w:rsidRDefault="002200F9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i/>
          <w:sz w:val="28"/>
          <w:szCs w:val="28"/>
        </w:rPr>
      </w:pPr>
      <w:r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>– </w:t>
      </w:r>
      <w:r w:rsidR="00E35AD5"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 xml:space="preserve">у країнах з федеративним устроєм </w:t>
      </w:r>
      <w:r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 xml:space="preserve">– </w:t>
      </w:r>
      <w:proofErr w:type="spellStart"/>
      <w:r w:rsidR="00E35AD5"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>трирівнева</w:t>
      </w:r>
      <w:proofErr w:type="spellEnd"/>
      <w:r w:rsidR="00E35AD5"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 xml:space="preserve">,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де стягуються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загальнодержавні (або федеральні), регіональні (податки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земель, провінцій, штатів) і місцеві (або муніципальні) податки </w:t>
      </w:r>
      <w:r>
        <w:rPr>
          <w:rFonts w:ascii="Times New Roman" w:eastAsia="TimesNewRomanPSMT-Identity-H" w:hAnsi="Times New Roman" w:cs="Times New Roman"/>
          <w:sz w:val="28"/>
          <w:szCs w:val="28"/>
        </w:rPr>
        <w:t>(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США та Німеччині</w:t>
      </w:r>
      <w:r>
        <w:rPr>
          <w:rFonts w:ascii="Times New Roman" w:eastAsia="TimesNewRomanPSMT-Identity-H" w:hAnsi="Times New Roman" w:cs="Times New Roman"/>
          <w:sz w:val="28"/>
          <w:szCs w:val="28"/>
        </w:rPr>
        <w:t>)</w:t>
      </w:r>
    </w:p>
    <w:p w:rsidR="00E35AD5" w:rsidRPr="00E35AD5" w:rsidRDefault="002200F9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>– в</w:t>
      </w:r>
      <w:r w:rsidR="00E35AD5"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 xml:space="preserve"> державах з унітарним устроєм </w:t>
      </w:r>
      <w:r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>–</w:t>
      </w:r>
      <w:r w:rsidR="00E35AD5" w:rsidRPr="002200F9">
        <w:rPr>
          <w:rFonts w:ascii="Times New Roman" w:eastAsia="TimesNewRomanPSMT-Identity-H" w:hAnsi="Times New Roman" w:cs="Times New Roman"/>
          <w:i/>
          <w:sz w:val="28"/>
          <w:szCs w:val="28"/>
        </w:rPr>
        <w:t xml:space="preserve"> дворівнева</w:t>
      </w:r>
      <w:r>
        <w:rPr>
          <w:rFonts w:ascii="Times New Roman" w:eastAsia="TimesNewRomanPSMT-Identity-H" w:hAnsi="Times New Roman" w:cs="Times New Roman"/>
          <w:i/>
          <w:sz w:val="28"/>
          <w:szCs w:val="28"/>
        </w:rPr>
        <w:t>,</w:t>
      </w:r>
      <w:r w:rsidRP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де стягуються тільки загальнодержавні і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місцеві податки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(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Великобританії, Франції та Японії</w:t>
      </w:r>
      <w:r>
        <w:rPr>
          <w:rFonts w:ascii="Times New Roman" w:eastAsia="TimesNewRomanPSMT-Identity-H" w:hAnsi="Times New Roman" w:cs="Times New Roman"/>
          <w:sz w:val="28"/>
          <w:szCs w:val="28"/>
        </w:rPr>
        <w:t>)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Сформована до початку 1980-х рр. у розвинутих країнах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однакова структура оподаткування стала важливим фактором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податкових реформ, багато в чому визначивши методи 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характер їх здійснення. Вона включає наступні види податків 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зборів: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прибутковий податок із громадян;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податок на прибуток корпорацій (фірм);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внески на соціальне страхування і забезпечення;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податки на власність і майно;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податки на процентні доходи;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непрямі податки (акцизи, ПДВ, податки з продажів та ін.).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 фізичних осіб стягується індивідуальний прибутковий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податок, внески на соціальне страхування і податок на майно.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Внески на соціальне страхування відраховуються до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спеціальних соціальних фондів (пенсійний, страхування на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випадок безробіття тощо) і потім служать фінансовою базою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відповідних соціальних виплат.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Юридичні особи сплачують два основні прямі податки -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 прибуток і на власність.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 капіталу, власності і майна здійснюється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 розвинутих країнах за допомогою наступних груп податків: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податку на особистий стан, податків зі спадщин і дарувань,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податку на приріст капіталу, податку на землю, податків на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конкретні види майна.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У загальних податкових надходженнях у державні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бюджети розвинутих країн світу у 1990-і рр. частка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індивідуального прибуткового податку складала від 13 до 47 %,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податку на прибуток корпорацій - від 4 до 21 %, внесків до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фондів соціального страхування - від 9 до 44 %, податків на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майно і власність - від 2 до 12 %, на доходи від капіталу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(процентні доходи) - від 1 до 7 %.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Реформи, проведені в 1980-1990 рр., в тому чи іншому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ступені торкнулися кожного з названих податків, але головна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увага в ході здійснення цих реформ була приділена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прибутковому податку і податку на прибуток корпорацій.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 більшості країн Західної Європи та Америки діюча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податкова система більш жорстока, ніж в Україні, а ставки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 вищі, ніж в нашій країні. Але, це не є чинником,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який має головний вплив при розробці напрямків податкової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політики підприємств. Тому й більша кількість підприємців не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намагається реєструватися в офшорних зонах, і вони працюють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 своїх державах, навіть коли ставки оподаткування прибутку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або інших доходів встановлюються на рівні до 45% (на відміну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 офшорних зон, де ставка податку на прибуток складає не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більше 5%).</w:t>
      </w:r>
    </w:p>
    <w:p w:rsidR="002200F9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Це пояснюється тим, що в більшості країн світу діють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такі системи оподаткування, які спрямовані на те, щоб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зацікавити вітчизняного виробника залишати свої доходи в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своїх країнах. Тому досить висока базова ставка податку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(наприклад 45%) може у кінцевому варіанті істотно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зменшитися за рахунок пільг та різниць інших умов (вдвічі або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більше) по інших податкових платежах. Крім того, в більшості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країн світу у виробника є можливість вибору, тобто він має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можливість визначити для себе той або інший варіант сплати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податкових платежів, якій для нього найбільш вигідний. Тому в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деяких випадках фактичні ставки оподаткування особливо не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відрізняються від ставок, які встановлюються в офшорних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зонах. </w:t>
      </w:r>
    </w:p>
    <w:p w:rsidR="002200F9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Причому треба ще відзначити </w:t>
      </w:r>
      <w:r w:rsidRPr="002200F9">
        <w:rPr>
          <w:rFonts w:ascii="Times New Roman" w:eastAsia="TimesNewRomanPSMT-Identity-H" w:hAnsi="Times New Roman" w:cs="Times New Roman"/>
          <w:i/>
          <w:sz w:val="28"/>
          <w:szCs w:val="28"/>
          <w:u w:val="single"/>
        </w:rPr>
        <w:t>можливість отримання</w:t>
      </w:r>
      <w:r w:rsidR="002200F9" w:rsidRPr="002200F9">
        <w:rPr>
          <w:rFonts w:ascii="Times New Roman" w:eastAsia="TimesNewRomanPSMT-Identity-H" w:hAnsi="Times New Roman" w:cs="Times New Roman"/>
          <w:i/>
          <w:sz w:val="28"/>
          <w:szCs w:val="28"/>
          <w:u w:val="single"/>
        </w:rPr>
        <w:t xml:space="preserve"> </w:t>
      </w:r>
      <w:r w:rsidRPr="002200F9">
        <w:rPr>
          <w:rFonts w:ascii="Times New Roman" w:eastAsia="TimesNewRomanPSMT-Identity-H" w:hAnsi="Times New Roman" w:cs="Times New Roman"/>
          <w:i/>
          <w:sz w:val="28"/>
          <w:szCs w:val="28"/>
          <w:u w:val="single"/>
        </w:rPr>
        <w:t>різних пільг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по податкових платежах будь-якими фірмами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незалежно від форми власності та напрямку діяльності. Але їх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надання носить вибірковий та особливий характер.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Так, у більшості країн світу існують пільги для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підприємств, які свою продукцію експортують за кордон (при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цьому треба мати на увазі, що більшість держав укладають між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собою угоди з оподаткування про уникнення подвійного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оподаткування). Також стимулюється розвиток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підприємницької діяльності (особливо слаборозвинутих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державах, коли пільги надаються підприємствам, які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відкриваються, або починають свою діяльність в незаселених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районах, віддалених від шляхів загальних сполучень, де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утворюються нові робочі місця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та ін.). При цьому проводиться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інвестування переважно тих підприємств, у розвитку діяльності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яких зацікавлена держава. Тобто, це дозволяє державі знизити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податкові ставки до податкових ставок офшорних зон, а при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умові розвитку місцевої регіональної інфраструктури, наявності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сировинних джерел, наближенні виробництва до ринків збуту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продукції, наявності кваліфікованої робочої сили та інших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причин сприяє тому, що підприємство не «поспішає»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реєструватися в офшорних зонах. Тобто в державі утворюється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конкурентне податкове середовище.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Навіть коли підприємство є резидентом в своїй державі,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 більшість своїх активів має за кордоном і там здійснює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управління ними, то і в цьому випадку можуть надаватися різні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пільги у вигляді відстрочки сплати податкового платежу на ті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доходи, які отримані за кордоном. Причому ця відстрочка може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бути надана на досить тривалий час (5-10 років), що практично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рівнозначно звільненню від сплати податку.</w:t>
      </w:r>
    </w:p>
    <w:p w:rsid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Тому, податкове законодавство інших країн, а також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пільги, які надаються платникам податків, чітко поділяють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суб’єктів оподаткування на дві категорії – резиденти та</w:t>
      </w:r>
      <w:r w:rsidR="002200F9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нерезиденти.</w:t>
      </w:r>
    </w:p>
    <w:p w:rsidR="00BA0C77" w:rsidRPr="00BA0C77" w:rsidRDefault="00BA0C77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4927"/>
        <w:gridCol w:w="4928"/>
      </w:tblGrid>
      <w:tr w:rsidR="002200F9" w:rsidRPr="00BA0C77" w:rsidTr="00E436D7">
        <w:tc>
          <w:tcPr>
            <w:tcW w:w="4927" w:type="dxa"/>
          </w:tcPr>
          <w:p w:rsidR="002200F9" w:rsidRPr="00BA0C77" w:rsidRDefault="00BA0C77" w:rsidP="00BA0C7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BA0C77">
              <w:rPr>
                <w:rFonts w:ascii="Times New Roman" w:eastAsia="TimesNewRomanPS-BoldItalicMT-Id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Резиденти </w:t>
            </w:r>
            <w:r w:rsidRPr="00BA0C7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– підприємства, які зареєстровані в цій державі, мають розрахунковий рахунок, а керівники цих підприємств постійно проживають в цій країні</w:t>
            </w:r>
          </w:p>
        </w:tc>
        <w:tc>
          <w:tcPr>
            <w:tcW w:w="4928" w:type="dxa"/>
          </w:tcPr>
          <w:p w:rsidR="002200F9" w:rsidRPr="00BA0C77" w:rsidRDefault="00BA0C77" w:rsidP="00BA0C7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BA0C77">
              <w:rPr>
                <w:rFonts w:ascii="Times New Roman" w:eastAsia="TimesNewRomanPS-BoldItalicMT-Id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Нерезиденти </w:t>
            </w:r>
            <w:r w:rsidRPr="00BA0C7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– це компанії та фірми іноземних держав,або громадяни, які не проживають постійно в цій державі, але здійснюють у ній свою господарсько-фінансову діяльність</w:t>
            </w:r>
          </w:p>
        </w:tc>
      </w:tr>
    </w:tbl>
    <w:p w:rsidR="00E35AD5" w:rsidRPr="00BA0C77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10"/>
          <w:szCs w:val="10"/>
        </w:rPr>
      </w:pPr>
    </w:p>
    <w:p w:rsidR="00BA0C77" w:rsidRDefault="00BA0C77" w:rsidP="00BA0C77">
      <w:pPr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TimesNewRomanPSMT-Identity-H" w:hAnsi="Times New Roman" w:cs="Times New Roman"/>
          <w:sz w:val="28"/>
          <w:szCs w:val="28"/>
        </w:rPr>
      </w:pPr>
      <w:r w:rsidRPr="00BA0C77">
        <w:rPr>
          <w:rFonts w:ascii="Times New Roman" w:eastAsia="TimesNewRomanPSMT-Identity-H" w:hAnsi="Times New Roman" w:cs="Times New Roman"/>
          <w:b/>
          <w:sz w:val="28"/>
          <w:szCs w:val="28"/>
        </w:rPr>
        <w:t xml:space="preserve">Значення </w:t>
      </w:r>
      <w:r w:rsidR="00E35AD5" w:rsidRPr="00BA0C77">
        <w:rPr>
          <w:rFonts w:ascii="Times New Roman" w:eastAsia="TimesNewRomanPSMT-Identity-H" w:hAnsi="Times New Roman" w:cs="Times New Roman"/>
          <w:b/>
          <w:sz w:val="28"/>
          <w:szCs w:val="28"/>
        </w:rPr>
        <w:t>розподіл</w:t>
      </w:r>
      <w:r w:rsidRPr="00BA0C77">
        <w:rPr>
          <w:rFonts w:ascii="Times New Roman" w:eastAsia="TimesNewRomanPSMT-Identity-H" w:hAnsi="Times New Roman" w:cs="Times New Roman"/>
          <w:b/>
          <w:sz w:val="28"/>
          <w:szCs w:val="28"/>
        </w:rPr>
        <w:t>у</w:t>
      </w:r>
      <w:r w:rsidR="00E35AD5" w:rsidRPr="00BA0C77">
        <w:rPr>
          <w:rFonts w:ascii="Times New Roman" w:eastAsia="TimesNewRomanPSMT-Identity-H" w:hAnsi="Times New Roman" w:cs="Times New Roman"/>
          <w:b/>
          <w:sz w:val="28"/>
          <w:szCs w:val="28"/>
        </w:rPr>
        <w:t xml:space="preserve"> при оподаткуванні</w:t>
      </w:r>
      <w:r w:rsidRPr="00BA0C77">
        <w:rPr>
          <w:rFonts w:ascii="Times New Roman" w:eastAsia="TimesNewRomanPSMT-Identity-H" w:hAnsi="Times New Roman" w:cs="Times New Roman"/>
          <w:b/>
          <w:sz w:val="28"/>
          <w:szCs w:val="28"/>
        </w:rPr>
        <w:t xml:space="preserve"> </w:t>
      </w:r>
      <w:r w:rsidR="00E35AD5" w:rsidRPr="00BA0C77">
        <w:rPr>
          <w:rFonts w:ascii="Times New Roman" w:eastAsia="TimesNewRomanPSMT-Identity-H" w:hAnsi="Times New Roman" w:cs="Times New Roman"/>
          <w:b/>
          <w:sz w:val="28"/>
          <w:szCs w:val="28"/>
        </w:rPr>
        <w:t>доходів підприємств та громадян</w:t>
      </w:r>
    </w:p>
    <w:p w:rsidR="00E35AD5" w:rsidRPr="00E35AD5" w:rsidRDefault="00BA0C77" w:rsidP="00BA0C7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</w:rPr>
        <w:t>1) я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кщо підприємство є резидентом якоїсь держави, то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оподаткуванню підлягають всі його доходи, які отримані як на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території держави, так і за її межами</w:t>
      </w:r>
      <w:r>
        <w:rPr>
          <w:rFonts w:ascii="Times New Roman" w:eastAsia="TimesNewRomanPSMT-Identity-H" w:hAnsi="Times New Roman" w:cs="Times New Roman"/>
          <w:sz w:val="28"/>
          <w:szCs w:val="28"/>
        </w:rPr>
        <w:t>;</w:t>
      </w:r>
    </w:p>
    <w:p w:rsidR="00BA0C77" w:rsidRDefault="00BA0C77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</w:rPr>
        <w:t>2) н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ерезидент, навпаки, сплачує податки тільки з доходів,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які обуло </w:t>
      </w:r>
      <w:r>
        <w:rPr>
          <w:rFonts w:ascii="Times New Roman" w:eastAsia="TimesNewRomanPSMT-Identity-H" w:hAnsi="Times New Roman" w:cs="Times New Roman"/>
          <w:sz w:val="28"/>
          <w:szCs w:val="28"/>
        </w:rPr>
        <w:t>отрима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но на території держави або з джерел, які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розташовані на її території. Всі доходи, що були отримані за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межами території держави, від сплати податкових платежів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sz w:val="28"/>
          <w:szCs w:val="28"/>
        </w:rPr>
        <w:t>звільняються (але тільки в цій державі</w:t>
      </w:r>
      <w:r>
        <w:rPr>
          <w:rFonts w:ascii="Times New Roman" w:eastAsia="TimesNewRomanPSMT-Identity-H" w:hAnsi="Times New Roman" w:cs="Times New Roman"/>
          <w:sz w:val="28"/>
          <w:szCs w:val="28"/>
        </w:rPr>
        <w:t>);</w:t>
      </w:r>
    </w:p>
    <w:p w:rsidR="00BA0C77" w:rsidRDefault="00BA0C77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</w:rPr>
        <w:t>3) р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озподіл дає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можливість уникнути подвійного оподаткування, але при цьому</w:t>
      </w:r>
      <w:r w:rsidRP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стикуються національні інтереси різних країн</w:t>
      </w:r>
      <w:r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:rsidR="00E35AD5" w:rsidRPr="00BA0C77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  <w:u w:val="single"/>
        </w:rPr>
      </w:pPr>
      <w:r w:rsidRPr="00BA0C77">
        <w:rPr>
          <w:rFonts w:ascii="Times New Roman" w:eastAsia="TimesNewRomanPSMT-Identity-H" w:hAnsi="Times New Roman" w:cs="Times New Roman"/>
          <w:sz w:val="28"/>
          <w:szCs w:val="28"/>
          <w:u w:val="single"/>
        </w:rPr>
        <w:t>Тобто збирання</w:t>
      </w:r>
      <w:r w:rsidR="00BA0C77" w:rsidRPr="00BA0C77">
        <w:rPr>
          <w:rFonts w:ascii="Times New Roman" w:eastAsia="TimesNewRomanPSMT-Identity-H" w:hAnsi="Times New Roman" w:cs="Times New Roman"/>
          <w:sz w:val="28"/>
          <w:szCs w:val="28"/>
          <w:u w:val="single"/>
        </w:rPr>
        <w:t xml:space="preserve"> </w:t>
      </w:r>
      <w:r w:rsidRPr="00BA0C77">
        <w:rPr>
          <w:rFonts w:ascii="Times New Roman" w:eastAsia="TimesNewRomanPSMT-Identity-H" w:hAnsi="Times New Roman" w:cs="Times New Roman"/>
          <w:sz w:val="28"/>
          <w:szCs w:val="28"/>
          <w:u w:val="single"/>
        </w:rPr>
        <w:t>податків відбувається за принципом національної належності</w:t>
      </w:r>
      <w:r w:rsidR="00BA0C77" w:rsidRPr="00BA0C77">
        <w:rPr>
          <w:rFonts w:ascii="Times New Roman" w:eastAsia="TimesNewRomanPSMT-Identity-H" w:hAnsi="Times New Roman" w:cs="Times New Roman"/>
          <w:sz w:val="28"/>
          <w:szCs w:val="28"/>
          <w:u w:val="single"/>
        </w:rPr>
        <w:t xml:space="preserve"> </w:t>
      </w:r>
      <w:r w:rsidRPr="00BA0C77">
        <w:rPr>
          <w:rFonts w:ascii="Times New Roman" w:eastAsia="TimesNewRomanPSMT-Identity-H" w:hAnsi="Times New Roman" w:cs="Times New Roman"/>
          <w:sz w:val="28"/>
          <w:szCs w:val="28"/>
          <w:u w:val="single"/>
        </w:rPr>
        <w:t>платника податкового платежу.</w:t>
      </w:r>
    </w:p>
    <w:p w:rsidR="00E35AD5" w:rsidRP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</w:p>
    <w:p w:rsidR="00E35AD5" w:rsidRPr="00E35AD5" w:rsidRDefault="00E35AD5" w:rsidP="00BA0C77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Крім того, при розповсюдженні міграції населення,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наприклад, у країнах Західної Європи, де існує вільний вивіз та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ввіз капіталу, особливого значення набувають двосторонні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угоди, які укладаються між державами і які регулюють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податкові стосунки й дозволяють уникнення подвійного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оподаткування.</w:t>
      </w:r>
    </w:p>
    <w:p w:rsidR="00E35AD5" w:rsidRDefault="00E35AD5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Також, між державами можуть укладатись угоди, що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створюють такі податкові умови для підприємств, які не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надаються в офшорних зонах. Деякі держави прийняли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законодавство, яке спрямовано на переміщення капіталів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підприємств з офшорних зон і не впливає на діяльність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юридичних та фізичних осіб своєї державі. Це також сприяє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розміщенню капіталу підприємств у своїй державі.</w:t>
      </w:r>
    </w:p>
    <w:p w:rsidR="00BA0C77" w:rsidRPr="00E35AD5" w:rsidRDefault="00BA0C77" w:rsidP="002200F9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</w:p>
    <w:p w:rsidR="00E35AD5" w:rsidRPr="00E35AD5" w:rsidRDefault="00BA0C77" w:rsidP="00BA0C77">
      <w:pPr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2. </w:t>
      </w:r>
      <w:r w:rsidR="00E35AD5"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ОСОБЛИВОСТІ ОПОДАТКУВАННЯ УНІТАРНИХ</w:t>
      </w:r>
      <w:r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ДЕРЖАВ (БЕЛЬГІЯ, ЯПОНІЯ)</w:t>
      </w:r>
    </w:p>
    <w:p w:rsidR="00E35AD5" w:rsidRPr="00E35AD5" w:rsidRDefault="00E35AD5" w:rsidP="00BA0C77">
      <w:pPr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TimesNewRomanPS-BoldItalicMT-Id" w:hAnsi="Times New Roman" w:cs="Times New Roman"/>
          <w:b/>
          <w:bCs/>
          <w:i/>
          <w:iCs/>
          <w:sz w:val="28"/>
          <w:szCs w:val="28"/>
        </w:rPr>
      </w:pPr>
      <w:r w:rsidRPr="00E35AD5">
        <w:rPr>
          <w:rFonts w:ascii="Times New Roman" w:eastAsia="TimesNewRomanPS-BoldItalicMT-Id" w:hAnsi="Times New Roman" w:cs="Times New Roman"/>
          <w:b/>
          <w:bCs/>
          <w:i/>
          <w:iCs/>
          <w:sz w:val="28"/>
          <w:szCs w:val="28"/>
        </w:rPr>
        <w:t>Податкова система Японії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 Японії діють два бюджетні рівні – державний 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місцевий. Місцевий у свою чергу поділяється на префектурний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та муніципальний. Наприкінці 90-х років в Японії налічувалось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3255 муніципалітетів. Бюджетний рік у даній країні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починається 1 квітня поточного року і закінчується 31 березня.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 бюджетному процесі беруть участь: парламент,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кабінет міністрів, Міністерство фінансів, міністерства й урядові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агенції, Аудиторська палата, а також науковці, журналісти, які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приймають участь у процесі обговорення бюджету.</w:t>
      </w:r>
    </w:p>
    <w:p w:rsidR="00E35AD5" w:rsidRPr="00BA0C77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i/>
          <w:sz w:val="28"/>
          <w:szCs w:val="28"/>
        </w:rPr>
      </w:pPr>
      <w:r w:rsidRPr="00BA0C77">
        <w:rPr>
          <w:rFonts w:ascii="Times New Roman" w:eastAsia="TimesNewRomanPSMT-Identity-H" w:hAnsi="Times New Roman" w:cs="Times New Roman"/>
          <w:i/>
          <w:sz w:val="28"/>
          <w:szCs w:val="28"/>
        </w:rPr>
        <w:t>Характерною особливістю бюджету Японії є те, що</w:t>
      </w:r>
      <w:r w:rsidR="00BA0C77" w:rsidRPr="00BA0C77">
        <w:rPr>
          <w:rFonts w:ascii="Times New Roman" w:eastAsia="TimesNewRomanPSMT-Identity-H" w:hAnsi="Times New Roman" w:cs="Times New Roman"/>
          <w:i/>
          <w:sz w:val="28"/>
          <w:szCs w:val="28"/>
        </w:rPr>
        <w:t xml:space="preserve"> </w:t>
      </w:r>
      <w:r w:rsidRPr="00BA0C77">
        <w:rPr>
          <w:rFonts w:ascii="Times New Roman" w:eastAsia="TimesNewRomanPSMT-Identity-H" w:hAnsi="Times New Roman" w:cs="Times New Roman"/>
          <w:i/>
          <w:sz w:val="28"/>
          <w:szCs w:val="28"/>
        </w:rPr>
        <w:t>невикористанні кошти переходять у наступний бюджетний рік.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Податкові надходження становлять у державному бюджеті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більше половини надходжень. Значну частину надходжень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забезпечує випуск цінних паперів. Згідно з фінансовим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законодавством Банк Японії, як центральний банк країни, не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має права фінансувати кабінет.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 та стягнення національних податків 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зборів, за винятком митних і вантажних, здійснює Національне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податкове управління, яке є зовнішньою організацією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Міністерства фінансів. Вся Японія щодо оподаткування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розділена на 11 районів, а райони – на округи. Національне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податкове управління має у своєму підпорядкуванні 11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податкових районних управлінь, 518 окружних податкових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служб і податкову службу Окінаві, яку було відкрито у травні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1972 році, коли острови були повернуті Японії.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У діяльності податкових органів Японії чітко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виділяються чотири основні напрямки: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управління оподаткуванням;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перевірка рахунків платників податків;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податкові консультації;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 зв’язки з громадськістю.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Крім того, до працівників податкових служб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пред’являються досить високі моральні вимоги. Вони повинні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усвідомлювати свою відповідальність перед державою,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шанувати свою працю, бути чесними і принциповими, вести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себе коректно щодо платників податку. Для контролю за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податковими деклараціями корпорацій податкові органи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використовують «порядок якісної перевірки», згідно з якою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корпорації розподіляються за рівнем порядності. Якщо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декларації виявляються правильно заповненими, то корпорації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звільняються від перевірок на тривалий час. Корпорації з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капіталом понад 100 млн. єн. та іноземними інвестиціями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перевіряються районними податковими управліннями, інші –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окружними податковими службами. Фізичні особи сплачують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податки наприкінці року, шляхом внесення готівкових грошей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або цінних паперів, які використовуються для виплати доходів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 встановлений термін до Банку Японії.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Гербовий збір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, податок на записи і дозволи можуть бути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сплачені шляхом придбання марок. Якщо виникають проблеми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 оплати готівкою, то дозволяється оплачувати частиною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належного майна. У разі певних труднощів щодо сплати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податків (стихійні лиха, особливі випадки) платникові в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установленому порядку може бути надана відстрочка від двох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місяців до одного року.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Податкові платежі дозволено отримувати відділенням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Банку Японії, поштовим відділенням та окружним податковим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службам. Кількість відділень Банку Японії та інших банків, які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діють за його Дорученням, становить близько 23,3 тис., пошта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також має понад 19,5 тис. відділень, отже, особливих проблем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щодо форми сплати податків не виникає.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Якщо платник податку не вніс податок у визначений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період часу, податковий орган надсилає йому повідомлення з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проханням сплатити податок протягом 50 днів. Якщо ще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протягом 10 днів після закінчення строку повідомлення кошти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не надходять, податковий орган розпочинає процедуру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стягнення податку. Яка починається з виявлення активів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платника податку і накладання на них арешту. Якщо й після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накладання арешту платник не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сплатив податок у повному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обсязі, податковий орган приступає до розпродажу цих активів.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Для фізичних осіб діють певні винятки. Так, якщо розпродаж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майна фізичної особи залишає його сім'ю без засобів до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існування або повністю робить його підприємство банкрутом,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то йому може бути надана відстрочка. Якщо термін відстрочки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п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еревищує три роки, то зобов'язання платника податку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підлягають списанню.</w:t>
      </w:r>
    </w:p>
    <w:p w:rsidR="00E35AD5" w:rsidRPr="00E35AD5" w:rsidRDefault="00E35AD5" w:rsidP="00BA0C77">
      <w:pPr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TimesNewRomanPS-BoldItalicMT-Id" w:hAnsi="Times New Roman" w:cs="Times New Roman"/>
          <w:b/>
          <w:bCs/>
          <w:i/>
          <w:iCs/>
          <w:sz w:val="28"/>
          <w:szCs w:val="28"/>
        </w:rPr>
      </w:pPr>
      <w:r w:rsidRPr="00E35AD5">
        <w:rPr>
          <w:rFonts w:ascii="Times New Roman" w:eastAsia="TimesNewRomanPS-BoldItalicMT-Id" w:hAnsi="Times New Roman" w:cs="Times New Roman"/>
          <w:b/>
          <w:bCs/>
          <w:i/>
          <w:iCs/>
          <w:sz w:val="28"/>
          <w:szCs w:val="28"/>
        </w:rPr>
        <w:t>Податкова система Бельгії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Податок на додану вартість.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Стандартна ставка 21%,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знижені ставки: 7% - на сільськогосподарську сировину,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продовольчі товари, медикаменти і медичне устаткування,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книги, газети, водопостачання, пасажирський транспорт,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готельні та деякі інші послуги; 12% - на будівництво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муніципального житла й окремі товари (засоби захисту рослин,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маргарин, шини до сільськогосподарських машин). З малих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підприємств, щорічний оборот яких не перевищує 225 тис.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бельгійських франків, податок не стягується. Від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 звільняються послуги банків, страхових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компаній, лікарень, юристів і лікарів, навчальних закладів,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деяких некомерційних організацій, міжнародні перевезення,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постачання літаків і судів, а також низки товарів і послуг, що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поставляються дипломатичним представництвам 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міжнародним організаціям.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Акцизи.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Стягуються з нафтопродуктів, електроенергії,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тютюнових виробів, міцних спиртних напоїв, вина, пива,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безалкогольних напоїв, кави, а також із зовнішньої реклами,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ігорного бізнесу і гральних автоматів. Ставки акцизів на деякі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товари: на бензин (за 1000 л) - 9,9 і 11,9 тис. бельгійських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франків залежно від змісту свинцю; на електроенергію (за 1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квт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/ч) - 55 бельгійських франків; на сигарети -50% з роздрібної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ціни плюс 102 бельгійських франків за 1000 шт.; на вино (за 1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гл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чистого спирту) - 1471 бельгійських франків; на розчинну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каву (за 1 кг) - 28 бельгійських франків.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Прибутковий податок.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Ставки коливаються залежно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 розміру доходу: від 25% (до 253 тис. бельгійських франків)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 55% (понад 2420 тис. бельгійських франків). Стягується з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фізичних осіб, резидентів і нерезидентів, за 4-ма категоріями ( з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майна, цінних паперів, заробітку й інших джерел) за винятком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витрат і деяких пільг соціального характеру. Резиденти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сплачують податок з доходів, отриманих у Бельгії і за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кордоном. Передбачено знижку на 50% з нерухомого майна,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заробітної плати і деяких інших видів доходу іноземного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походження. Нерезиденти оподатковуються податком з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доходів,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отриманих у Бельгії (соціальні пільги на них за звичай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не поширюються). Крім державного, стягується муніципальний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прибутковий податок у розмірі 6%-10% від базової ставки і 3%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кризовий внесок.</w:t>
      </w:r>
    </w:p>
    <w:p w:rsidR="00BA0C77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Податок на прибуток корпорацій.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Стандартна ставка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39%, крім того, діють ставки в 28% (з доходу до 1 млн.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бельгійських франків), 36% (1-3,6 млн. бельгійських франків) 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41% (3,6-13 млн. бельгійських франків), а також 200% з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непідтвердженого доходу. Стягується з усіх компаній,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зареєстрованих у Бельгії, а також тих компаній, що мають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штаб-квартиру чи органи керування в цій країні. Податок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скорочується на 25%, якщо прибуток надходить через кордон 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оподатковується там податком, а також, якщо доход надходить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 майна за рубежем. З оподатковуваного доходу дозволяється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віднімати усі витрати, понесені в процесі створення цього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доходу. Додатково стягується 3%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-ний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кризовий внесок.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Податок на нерезидентів.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Стягується з усіх видів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доходів фізичних і юридичних осіб, що не мають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зареєстрованого представництва в Бельгії, а також з установ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іноземних урядів. Ставки податку базуються за схемою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прибуткового податку (див. вище). З фізичної особи, що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проживає в Бельгії, стягується додатковий прибутковий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у розмірі 6%, ставка для юридичної особи - 43%.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Реєстраційний податок.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Стягується при оформленні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продажу й оренди землі і будівель. Стандартна ставка 12,5%,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 продажі невеликих земельних ділянок і будівель - 6%, при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оренді землі і будівель - 1000 бельгійських франків чи 0,2% від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вартості угоди.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Податок на реєстрацію транспортних засобів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.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Стягується з автомобілів, літаків і яхт. Ставки податку для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автомобілів - від 2,5 тис. до 100 тис. бельгійських франків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залежно від дати випуску. Крім того, з власників автомобілів,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що використовують громадські шляхи, стягується місцевий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на автотранспортні засоби, розмір якого залежить від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потужності двигуна або ваги автомобіля. Ставки для легкових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автомобілів потужністю понад 20 л. с. - 48,1 тис. бельгійських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франків плюс 2,6 тис. бельгійських франків за 1 л. с; для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вантажних - від 150 до 346 бельгійських франків за кожні 100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кг вантажопідйомності (мінімальна ставка 854 бельгійських</w:t>
      </w:r>
      <w:r w:rsidR="00BA0C77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франків).</w:t>
      </w:r>
    </w:p>
    <w:p w:rsidR="00BA0C77" w:rsidRDefault="00BA0C77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</w:p>
    <w:p w:rsidR="006A1ED1" w:rsidRDefault="006A1ED1">
      <w:pPr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br w:type="page"/>
      </w:r>
    </w:p>
    <w:p w:rsidR="00E35AD5" w:rsidRPr="00E35AD5" w:rsidRDefault="00BA0C77" w:rsidP="00BA0C77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lastRenderedPageBreak/>
        <w:t>3. </w:t>
      </w:r>
      <w:r w:rsidR="00E35AD5"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ОСНОВНІ ТЕНДЕНЦІЇ РОЗВИТКУ ПОДАТКОВИХ</w:t>
      </w:r>
      <w:r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 </w:t>
      </w:r>
      <w:r w:rsidR="00E35AD5"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СИСТЕМ ПРОМИСЛОВО РОЗВИНУТИХ КРАЇН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Загальну тенденцію у формуванні системи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 в промислово розвинутих країнах можна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виразити приблизно так: у раціональному оподаткуванні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потрібно уникати методів і форм, які заважають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нагромадженню багатства всіма учасниками відтворювального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процесу. Зрозуміло, у кожній окремій країні ця система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формується під впливом специфічних, конкретно-історичних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умов (економіко-географічних, політичних, релігійних), які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визначають її довгостроковий розвиток. Тому податкові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системи різних країн, навіть у рамках західноєвропейського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регіону, розрізняються між собою, хоча прискорений розвиток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інтеграційних процесів привів до деякого зближення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податкового законодавства в країнах Європейського Співтовариства. У цих країнах склалася багаторівнева система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стягування податків. У країнах з федеративним устроєм вона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трирівнева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, а в державах з унітарним устроєм — дворівнева.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Податки тут поділяються на загальнодержавні і місцеві. У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федеративних державах до них додаються регіональні податки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окремих земель, областей, автономних утворень.</w:t>
      </w:r>
    </w:p>
    <w:p w:rsidR="006A1ED1" w:rsidRPr="006A1ED1" w:rsidRDefault="006A1ED1" w:rsidP="006A1ED1">
      <w:pPr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6A1ED1">
        <w:rPr>
          <w:rFonts w:ascii="Times New Roman" w:eastAsia="TimesNewRomanPSMT-Identity-H" w:hAnsi="Times New Roman" w:cs="Times New Roman"/>
          <w:b/>
          <w:sz w:val="28"/>
          <w:szCs w:val="28"/>
        </w:rPr>
        <w:t>ВЕЛИКОБРИТАНІЯ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Одна з найбільш стабільних </w:t>
      </w: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податкових систем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, які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склалися і функціонують без значних змін з XIX століття, діє у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Великобританії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. Тут вона дворівнева і складається з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загальнодержавних і місцевих податків. Важливе місце в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загальнодержавному оподаткуванні займає прибутковий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з населення, який приносить у бюджет дві третини всіх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податкових надходжень. Цей податок платять тільки фізичні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особи, тоді як юридичні особи, наприклад, корпорації, платять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на прибуток. Прибутковий податок дуже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диференційований у залежності від величини доходу громадян.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 його встановленні враховують сімейне, матеріальне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становище (наприклад, стан здоров'я) платника податків і з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урахуванням всіх обставин застосовуються Пільги і знижки.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 сплаті цього податку діють три основні ставки: 20%, 25% 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для самих багатих 40% доходу.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Прибуток підприємств обкладається податком у 33%,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причому останнім часом він значно знижений (10 років тому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його ставка була 52%).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Ще одним джерелом поповнення скарбниці є податок на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спадщину. Невелике майно (до 150 тисяч фунтів стерлінгів) не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обкладається зовсім, а з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більш дорогої спадщини береться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за ставкою 40%. В окрему статтю виділені внески на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потреби соціального страхування. Вони диференційовані в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залежності від величини заробітку чи доходу і коливаються від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2% до 9%.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Серед </w:t>
      </w:r>
      <w:r w:rsidRPr="00E35AD5">
        <w:rPr>
          <w:rFonts w:ascii="Times New Roman" w:eastAsia="TimesNewRomanPS-BoldItalicMT-Id" w:hAnsi="Times New Roman" w:cs="Times New Roman"/>
          <w:b/>
          <w:bCs/>
          <w:i/>
          <w:iCs/>
          <w:sz w:val="28"/>
          <w:szCs w:val="28"/>
        </w:rPr>
        <w:t xml:space="preserve">непрямих податків Великобританії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основним є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на додану вартість. За сумою надходжень у бюджет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(17% від усіх податкових зборів) він займає друге місце після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прибуткового податку. Базою оподаткування служить вартість,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додана в процесі виробництва і наступного продажу до вартості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закуплених сировини і матеріалів. Вона становить за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величиною різницю між виторгом за реалізовані товари 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вартістю закупівель у постачальників. Ставка податку 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–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17,5%. До інших важливих непрямих податків відноситься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акциз. Акцизами обкладаються спиртні і тютюнові вироби,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пальне, автомобілі. Ставка акцизного збору коливається в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межах 10-30% від ціни товару.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Місцевими податками в Англії обкладається нерухоме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майно, включаючи землю. Ці податки встановлюються владою,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вони значно відрізняються за величиною в різних регіонах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країни.</w:t>
      </w:r>
    </w:p>
    <w:p w:rsidR="006A1ED1" w:rsidRDefault="006A1ED1" w:rsidP="006A1ED1">
      <w:pPr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ФРАНЦІЯ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Сучасна податкова система Франції.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 загальною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своєю спрямованістю аналогічна англійській. У ній також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основний податковий тягар лягає на споживання, а не на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виробництво.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Оподатковування у Франції має ряд особливостей, які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тісно пов'язані з історичним розвитком країни.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Оподатковування перебуває в компетенції парламенту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(Національної Асамблеї), який щорічно при голосуванні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державного бюджету затверджує законодавчі акти про податки,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 також декрети й директиви щодо розвитку зазначених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законів.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Основними законодавчими актами в області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оподатковування у Франції є: Податковий кодекс 1948 року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(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Code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Gènèral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des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Impòts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); Кодекс фіскальних (податкових)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процедур 1982 року. (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Livre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des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procedures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fiscales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).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Організацією оподатковування в країні займається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податкова служба, що функціонує в складі Міністерства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економіки, фінансів і бюджету. Її очолює Головне податкове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управління.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Головним Джерелом бюджетних надходжень є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непрямий податок — податок на додану вартість. Франція стала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першою країною, яка ввела цей податок у 1954 році. Він дає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бюджету 41,4% від усіх податкових надходжень.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Ставки податку на додану вартість (ПДВ) у цій країні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Диференційовані за товарними групами: при основній ставці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18,6%, на товари і послуги першої необхідності вона не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перевищує 5,5%. Найвища ставка 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22%, вона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застосовується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 автомобілів, парфумерії, предметів розкоші. Зниженою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ставкою (7%) обкладаються товари культурного побуту.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 ПДВ звільнена медицина й освіта, а також приватна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викладацька діяльність, лікувальна практика і духовна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творчість (література і мистецтво). ПДВ у Франції доповнений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акцизами на алкогольні напої і тютюнові вироби, деякі види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автомобілів і літальні апарати.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Найважливішим із </w:t>
      </w:r>
      <w:r w:rsidRPr="00E35AD5">
        <w:rPr>
          <w:rFonts w:ascii="Times New Roman" w:eastAsia="TimesNewRomanPS-BoldItalicMT-Id" w:hAnsi="Times New Roman" w:cs="Times New Roman"/>
          <w:b/>
          <w:bCs/>
          <w:i/>
          <w:iCs/>
          <w:sz w:val="28"/>
          <w:szCs w:val="28"/>
        </w:rPr>
        <w:t xml:space="preserve">прямих податків у Франції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є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прибутковий податок з фізичних осіб. Його питома вага в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бюджеті країни — більше 18%.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Платниками податку є фізичні особи, які для цілей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оподатковування підрозділяються на резидентів і нерезидентів.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на доходи фізичних осіб стягується з родини,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яка може складатися з однієї людини. Родина здає одну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декларацію.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Подружжя, не зареєстровані в законному шлюбі, але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проживаючі разом родиною не вважаються. Якщо реєстрація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або розірвання шлюбу відбуваються протягом податкового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періоду (календарного року), то подружжя здавало 3 декларації:</w:t>
      </w:r>
      <w:r w:rsidR="006A1ED1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одну загальну та дві індивідуальні.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Роботодавці сплачують податок з доходу, виплаченого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працівнику, якщо не більше 90% угод у попередньому році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обкладалося ПДВ. В іншому випадку, платники одержують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звільнення від податку (ст. 231(1) Податкового кодексу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Франції). Податок сплачується залежно від частки, яку складає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виторг, що не обкладається ПДВ, у загальній сумі виторгу.</w:t>
      </w:r>
    </w:p>
    <w:p w:rsid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Прибутковим податком обкладаються і юридичні особи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підприємства, корпорації, об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ʼ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єктом обкладання виступає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чистий прибуток. Загальна ставка податку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34%, а на прибуток від землеробства і від доходів на цінні папери податкова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ставка коливається від 10% до 24%. Варто звернути увагу, що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питома вага податків на прибуток у загальній сумі податкових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надходжень у бюджет не перевищує 10%. Це переконливе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свідчення того, як активно французька влада захищає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вітчизняного виробника. Аналогічним прагненням пронизана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чинність закону, який звільнив від ПДВ усі товари, вироблені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французькими підприємствами на експорт. Дуже низькі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податкові ставки і на продукцію сільського господарства.</w:t>
      </w:r>
    </w:p>
    <w:p w:rsidR="00BF201C" w:rsidRPr="00BF201C" w:rsidRDefault="00BF201C" w:rsidP="00BF201C">
      <w:pPr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BF201C">
        <w:rPr>
          <w:rFonts w:ascii="Times New Roman" w:eastAsia="TimesNewRomanPSMT-Identity-H" w:hAnsi="Times New Roman" w:cs="Times New Roman"/>
          <w:b/>
          <w:sz w:val="28"/>
          <w:szCs w:val="28"/>
        </w:rPr>
        <w:t>НІМЕЧЧИНА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Податкова система Німеччини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орієнтована на ті ж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основні принципи, що й податкові системи згаданих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європейських країн: раціональний розподіл податкового тягаря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між виробництвом і споживанням, соціальна справедливість,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захист вітчизняного підприємця. Федеративний устрій країни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ставить за обов'язок уряду розподіляти основні податкові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надходження в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бюджет на паритетних засадах: приблизно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половина отриманих засобів від прибуткового податку, від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податку на прибуток направляється у федеральний бюджет,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інша половина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у бюджет тієї землі, де було зібрано ці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податки. Оскільки промисловий потенціал різних земель за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своєю величиною значно диференційований, то й величина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бюджету «заможних» земель набагато перевищує розміри бюджету «бідних» земель. Оскільки через механізм федерального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бюджету проводиться так зване горизонтальне вирівнювання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доходів: індустріально розвинуті землі (наприклад, Баварія,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Баден-Вюртемберг, Північний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Рейн-Вестфалія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) дотують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фінансовими ресурсами бідніші землі (Саксонію,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Шлезвіг-Голштейн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). Після возз'єднання Німеччини, з 1990 року, 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відновлення народного господарства колишньої ГДР із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федерального бюджету витрачено більше 500 мільярдів марок.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Німеччина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типова країна з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трирівневою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системою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оподаткування. Податкові надходження розподіляються між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трьома суб'єктами: федеральною владою, урядами земель 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місцевою владою (громадами). Самим великим джерелом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поповнення скарбниці служить прибутковий податок з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фізичних осіб. Його ставка коливається від 19% до 42%,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стягування диференційоване.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 визначенні податку на заробітну плату існує 6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податкових класів, які враховують різноманітні життєві 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майнові обставини людини. Соціальні відрахування з фонду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заробітної плати складають 6,8%, їхня сума рівномірно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поділяється між підприємцем і працівником.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Другим за своєю значимістю прямим податком 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корпораційний</w:t>
      </w:r>
      <w:proofErr w:type="spellEnd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податок на прибуток. Він стягується за двома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ставками: на прибуток, який перерозподіляється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50%, й 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прибуток, який розподіляється у вигляді дивідендів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36%.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Великі податкові пільги надаються при прискореній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амортизації. У сільському господарстві закон дозволяє в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перший же рік списати у фонд амортизації до 50%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устаткування, а в перші три роки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80%. Так держава заохочує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технічне переоснащення виробництва.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Однак, податок на прибуток, за розміром надходжень у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бюджет уступає основному непрямому податку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податку 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додану вартість. ПДВ у Німеччині приносить до бюджету 28%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податкових надходжень. Загальна ставка податку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–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15%.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Основні продовольчі товари і продукція культурно-освітнього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призначення, як і у Франції, обкладаються за зменшеною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ставкою.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Непрямі податки доповнюються акцизами. Ними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обкладаються ті ж товари, що й в Англії і Франції.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Надходження від акцизів (крім акцизу на пиво) направляються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у федеральний бюджет.</w:t>
      </w:r>
    </w:p>
    <w:p w:rsidR="00BF201C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Місцеві бюджети підживлюються промисловим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податком (ним обкладаються підприємства і фізичні особи, які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займаються промисловою і торговою діяльністю), земельним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податком і податком на власність. У цілому еволюція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оподаткування в Німеччині відбувається в руслі тих тенденцій,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які спостерігаються в Західній Європі: зменшення податкового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тиску на прибуток, розширення спектра податкових пільг,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спрямованих на заохочення технологічного прогресу, 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розвиток підприємництва взагалі і дрібного підприємництва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особливо. Як і в сусідніх країнах (Франції й Англії), тут 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початку 90-х років були проведені податкові реформи, які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внесли істотні зміни в практику прямого оподаткування, надали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значне полегшення вітчизняному виробнику.</w:t>
      </w:r>
    </w:p>
    <w:p w:rsidR="00BF201C" w:rsidRPr="00BF201C" w:rsidRDefault="00BF201C" w:rsidP="00BF201C">
      <w:pPr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TimesNewRomanPSMT-Identity-H" w:hAnsi="Times New Roman" w:cs="Times New Roman"/>
          <w:b/>
          <w:sz w:val="28"/>
          <w:szCs w:val="28"/>
        </w:rPr>
      </w:pPr>
      <w:r w:rsidRPr="00BF201C">
        <w:rPr>
          <w:rFonts w:ascii="Times New Roman" w:eastAsia="TimesNewRomanPSMT-Identity-H" w:hAnsi="Times New Roman" w:cs="Times New Roman"/>
          <w:b/>
          <w:sz w:val="28"/>
          <w:szCs w:val="28"/>
        </w:rPr>
        <w:t>США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 розвинутих податкових систем, які успішно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виконують фіскальну і регулюючу функцію, відноситься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-ItalicMT-Identi" w:hAnsi="Times New Roman" w:cs="Times New Roman"/>
          <w:i/>
          <w:iCs/>
          <w:sz w:val="28"/>
          <w:szCs w:val="28"/>
        </w:rPr>
        <w:t>податкова система США</w:t>
      </w:r>
      <w:r w:rsidRPr="00E35AD5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.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Вона формувалася протягом двох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століть і виступає сьогодні як ефективний інструмент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регулювання економіки. У США також діє </w:t>
      </w:r>
      <w:proofErr w:type="spellStart"/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трирівнева</w:t>
      </w:r>
      <w:proofErr w:type="spellEnd"/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податкова система, при цьому 70% надходжень приходиться 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федеральний бюджет. У той же час абсолютна величина 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питома вага місцевих податків, а також податків окремих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штатів залишаються високими. За їх рахунок (від 70% до 90%)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фінансується утримання охорони здоров'я, освіти, соціального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забезпечення, місцевої поліції.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Як і в Німеччині, у США найбільші доходи бюджету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приносить прибутковий податок з населення. Податок цей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носить прогресивний характер: його ставки зростають у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залежності від величини доходу. До 1986 року ставки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прибуткового податку були диференційовані, вони були розбиті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 14 нормативів від 11% до 50%. З 1988 р. цей податок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стягується за 5 ставками — 11, 15, 28, 35 і 38,5%. Збільшено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максимальні розміри неоподаткованого доходу, і скорочені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максимальні ставки оподаткування. Спрощено систему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податків у цілому, і зменшена кількість податкових пільг.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Другими за значенням для федерального бюджету 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відрахування у фонди соціального страхування. Внески також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носять обов'язковий характер і поділяються у рівному обсязі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між працівником і роботодавцем, причому розмір цих внесків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має тенденцію до зростання. Так, у 1980 році він становив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12,3%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від фонду заробітної плати (тобто по 6,15% з кожної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сторони), у 1988 році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15,02%, у 90-х роках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15,3%.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Третім за величиною надходжень у бюджет виступає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на прибуток корпорацій. Тут також спостерігається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тенденція до зниження податкових ставок. До 1986 року її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загальний розмір був 46%, у 1987 р.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40%, а сьогодні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–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34%.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При цьому за перші 50 тисяч доларів прибутку варто платити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15%, за наступні 250 тисяч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25%, і тільки за більш високі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суми прибутку податок досягає 34%. Така диференціація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серйозно заохочує розвиток малого бізнесу і розширює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податкову базу країни. Як і в ряді інших країн, у США широко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застосовуються прискорені норми амортизації, які дозволяють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через механізм податкових пільг заохочувати науково-технічний прогрес.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 відміну від інших держав, федеральні акцизні збори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не займають значного місця в бюджеті США, тому що основну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частину цього податку стягує місцева влада штатів.</w:t>
      </w:r>
    </w:p>
    <w:p w:rsidR="00E35AD5" w:rsidRPr="00E35AD5" w:rsidRDefault="00E35AD5" w:rsidP="00E35AD5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Істотне значення в доходах федерального бюджету має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податок на спадщину. Його ставка коливається від 18% до 50%.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Неоподаткований мінімум становить 10 тисяч доларів.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Широкими повноваженнями в галузі оподаткування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володіють місцева влада і влада штатів. Прибутковий податок з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населення (крім федерального) введений владою 44 штатів. У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бюджети штатів, крім прибуткового, стягуються свої власні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податки на прибуток з корпорацій, з продажів і податок 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ділову активність. Великим джерелом поповнення місцевих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(муніципальних) бюджетів є податок на майно. У Нью-Йорку,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наприклад, він забезпечує 40% дохідної частини бюджету.</w:t>
      </w:r>
    </w:p>
    <w:p w:rsidR="00E35AD5" w:rsidRPr="00BF201C" w:rsidRDefault="00E35AD5" w:rsidP="00BF201C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Разом з тим, незважаючи на значні надходження від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різних податків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прямих і непрямих,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–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 місцеві бюджети,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особливо великих міст, не обходяться без субсидій, субвенцій і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дотацій з федерального бюджету. У цілому ж історично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сформована в США триступінчаста податкова система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впливає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благотворно на раціональне розміщення в країні промислових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об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ʼ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єктів, на підвищення ділової активності в менш розвинутих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регіонах. Податкова політика, яка проводилася із середини 80-х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років, зробила, на думку ряду фахівців, позитивний вплив на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господарський розвиток країни, особливо в галузі малого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 xml:space="preserve">бізнесу, і сприяла 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>зниж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енню рівня безробіття й зростанню</w:t>
      </w:r>
      <w:r w:rsidR="00BF201C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E35AD5">
        <w:rPr>
          <w:rFonts w:ascii="Times New Roman" w:eastAsia="TimesNewRomanPSMT-Identity-H" w:hAnsi="Times New Roman" w:cs="Times New Roman"/>
          <w:sz w:val="28"/>
          <w:szCs w:val="28"/>
        </w:rPr>
        <w:t>добробуту населення.</w:t>
      </w:r>
    </w:p>
    <w:sectPr w:rsidR="00E35AD5" w:rsidRPr="00BF201C" w:rsidSect="006874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-I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EB9"/>
    <w:multiLevelType w:val="hybridMultilevel"/>
    <w:tmpl w:val="4232084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AC7931"/>
    <w:multiLevelType w:val="hybridMultilevel"/>
    <w:tmpl w:val="6206F4A2"/>
    <w:lvl w:ilvl="0" w:tplc="C97C4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7B5B6E"/>
    <w:rsid w:val="001C7376"/>
    <w:rsid w:val="002200F9"/>
    <w:rsid w:val="003227E0"/>
    <w:rsid w:val="005203F4"/>
    <w:rsid w:val="006874DE"/>
    <w:rsid w:val="006A1ED1"/>
    <w:rsid w:val="007B5B6E"/>
    <w:rsid w:val="00A05F18"/>
    <w:rsid w:val="00BA0C77"/>
    <w:rsid w:val="00BF201C"/>
    <w:rsid w:val="00D2113B"/>
    <w:rsid w:val="00E3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B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B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5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19583</Words>
  <Characters>11163</Characters>
  <Application>Microsoft Office Word</Application>
  <DocSecurity>1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2020-04-27T05:19:00Z</dcterms:created>
  <dcterms:modified xsi:type="dcterms:W3CDTF">2020-05-06T09:45:00Z</dcterms:modified>
</cp:coreProperties>
</file>