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КРИТЕРІЇ ОЦІНЮВАННЯ</w:t>
      </w:r>
    </w:p>
    <w:p>
      <w:pPr>
        <w:spacing w:after="4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«ЕКОЛОГІЧНЕ НОРМУВАННЯ ТА СТАНДАРТИЗАЦІЯ»</w:t>
      </w:r>
    </w:p>
    <w:p>
      <w:pPr>
        <w:spacing w:before="200"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Засоби діагностики та процедури оцінювання</w:t>
      </w:r>
    </w:p>
    <w:p>
      <w:pPr>
        <w:spacing w:after="2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Система оцінювання знань студентів за дисципліною «Екологічне нормування та стандартизація» включає поточний, модульний та підсумковий семестровий контроль знань – екзамен у 7 семестрі (4-го року навчання). Контроль знань здійснюється за модульно-рейтинговою системою.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Поточний контроль</w:t>
            </w:r>
          </w:p>
        </w:tc>
        <w:tc>
          <w:tcPr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Модульний контроль</w:t>
            </w:r>
          </w:p>
        </w:tc>
        <w:tc>
          <w:tcPr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Підсумковий контроль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навчальне заняття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засоби діагностики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процедури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навчальне заняття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засоби діагностики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процедури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засоби діагностики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процедури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лекції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опитування під час лекцій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під час лекції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лекції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тестові завдання за модулем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0"/>
                <w:szCs w:val="20"/>
              </w:rPr>
              <w:t xml:space="preserve">виконання завдань під час практичних занять лекційних занять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тестові завдання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0"/>
                <w:szCs w:val="20"/>
              </w:rPr>
              <w:t xml:space="preserve">визначення середньозваженого результату поточних та модульного контролів;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0"/>
                <w:szCs w:val="20"/>
              </w:rPr>
              <w:t xml:space="preserve">виконання тестових завдань під час екзамену за бажанням студента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виконання завдань під час практичних занять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практичні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тестові завдання за кожною темою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практичні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виконання практичних робіт щодо розрахунку екологічних показників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індивідуальне завдання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виконання завдань під час самостійної роботи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400"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Шкали</w:t>
      </w:r>
    </w:p>
    <w:p>
      <w:pPr>
        <w:spacing w:after="2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Оцінювання навчальних досягнень студентів здійснюється за рейтинговою (100-бальною) та конвертаційною шкалами.</w:t>
      </w:r>
    </w:p>
    <w:p>
      <w:pPr>
        <w:spacing w:before="200"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Шкали оцінювання навчальних досягнень студентів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За шкалою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Екзамен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Рейтингові бали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A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Відмінно / Excellent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90-100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B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Добре / Good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82-89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C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74-81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D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Задовільно / Satisfactory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64-73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E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60-63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FX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Незадовільно / Fail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35-59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F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0-34</w:t>
            </w:r>
          </w:p>
        </w:tc>
      </w:tr>
    </w:tbl>
    <w:p>
      <w:pPr>
        <w:spacing w:before="400"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Критерії</w:t>
      </w:r>
    </w:p>
    <w:p>
      <w:pPr>
        <w:spacing w:after="2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оцінювання якості виконання завдання (досягнення певної навчальної цілі) використовуються еталони рішень – зразки правильного й повного рішення. Еталоном для теоретичних питань є інформаційний матеріал із фахових джерел з відповідним посиланням. Еталоном для практичних питань є алгоритми розв'язання задач та приклади їх рішень. Оцінювання рівня засвоєння навчального матеріалу здійснюється через коефіцієнт засвоєння:</w:t>
      </w:r>
    </w:p>
    <w:p>
      <w:pPr>
        <w:spacing w:after="1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КЗ = N/P,</w:t>
      </w:r>
    </w:p>
    <w:p>
      <w:pPr>
        <w:spacing w:after="2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 N – правильно виконані істотні операції рішення (відповіді); P – загальна кількість визначених істотних операцій.</w:t>
      </w:r>
    </w:p>
    <w:p>
      <w:pPr>
        <w:spacing w:after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Індивідуальні завдання та модульні контрольні роботи оцінюються експертно за допомогою критеріїв, що характеризують співвідношення вимог до рівня компетентностей і показників оцінки за рейтинговою шкалою.</w:t>
      </w:r>
    </w:p>
    <w:p>
      <w:pPr>
        <w:spacing w:before="200" w:after="1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КРИТЕРІЇ</w:t>
      </w:r>
    </w:p>
    <w:p>
      <w:pPr>
        <w:spacing w:after="10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оцінювання результатів навчання здобувачів вищої освіти з освітньої компоненти з підсумковим контролем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у формі екзамену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100-бальна шкала</w:t>
            </w:r>
          </w:p>
        </w:tc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Національна шкала</w:t>
            </w:r>
          </w:p>
        </w:tc>
        <w:tc>
          <w:tcPr>
            <w:tcW w:type="dxa" w:w="9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Шкала ЄКТС</w:t>
            </w:r>
          </w:p>
        </w:tc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Критерії оцінювання результатів навчання здобувачів вищої освіти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100 – 90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Відмінно / зараховано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А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Вільне володіння навчальним матеріалом, його всебічне та глибоке знання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Сформованість категоріально-понятійного апарату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Уміння розв'язувати як типові, так і нетипові (підвищеної складності, творчі) завдання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Самостійність, відповідальність, творчість та висока ініціативність при виконанні індивідуальних (групових) завдань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82 – 89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Добре / зараховано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В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Вільне володіння навчальним матеріалом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Сформованість понятійного апарату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Уміння розв'язувати типові і нетипові завдання, самостійно виправляти допущені помилки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Самостійність, відповідальність, ініціативність при виконанні індивідуальних (групових) завдань. Допускаються поодинокі незначні помилки (неточності та ін.)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74 – 81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Добре / зараховано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C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Достатній рівень володіння навчальним матеріалом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Сформованість понятійного апарату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Уміння розв'язувати типові завдання, виправляти допущені помилки з допомогою викладача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Самостійність, відповідальність, невисока ініціативність при виконанні індивідуальних (групових) завдань. Наявні незначні помилки (неточності та ін.)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64 – 73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Задовільно / зараховано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D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Середній рівень володіння навчальним матеріалом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Часткове володіння понятійним апаратом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Уміння розв'язувати типові завдання за підтримки викладача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Відсутність ініціативи та елементарні навички щодо виконання індивідуальних (групових) завдань. Наявні помилки (неточності та ін.)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60 – 63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Задовільно / зараховано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E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Низький рівень володіння навчальним матеріалом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Часткове володіння понятійним апаратом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Уміння розв'язувати типові завдання за підтримки викладача. Наявні неточності, помилки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Відсутність ініціативи до виконання індивідуальних (групових) завдань, елементарні та нестійкі навички щодо їх виконання. Наявні помилки (неточності та ін.)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35 – 59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Незадовільно / не зараховано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FX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Значні прогалини у володінні навчальним матеріалом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Фрагментарне володіння понятійним апаратом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Відсутність уміння розв'язувати типові завдання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Відсутність уміння розв'язувати індивідуальні (групові) завдання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Потребує повторного вивчення окремих модулів (змістових модулів) навчальної дисципліни</w:t>
            </w:r>
          </w:p>
        </w:tc>
      </w:tr>
      <w:tr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0 – 34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Незадовільно / не зараховано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F</w:t>
            </w:r>
          </w:p>
        </w:tc>
        <w:tc>
          <w:tcPr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Відсутність знань навчального матеріалу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Відсутнє володіння понятійним апаратом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Відсутність уміння розв'язувати найпростіші типові завдання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Відсутність уміння розв'язувати індивідуальні (групові) завдання</w:t>
            </w:r>
          </w:p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unction bold() { [native code] }"/>
                <w:bCs w:val="function bold() { [native code] }"/>
                <w:sz w:val="22"/>
                <w:szCs w:val="22"/>
              </w:rPr>
              <w:t xml:space="preserve">− Потребує повторного вивчення навчальної дисципліни</w:t>
            </w:r>
          </w:p>
        </w:tc>
      </w:tr>
    </w:tbl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jc w:val="center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jc w:val="center"/>
    </w:pPr>
    <w:rPr>
      <w:rFonts w:ascii="Times New Roman" w:cs="Times New Roman" w:eastAsia="Times New Roman" w:hAnsi="Times New Roman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2026-02-01T22:01:13.031Z</dcterms:created>
  <dcterms:modified xsi:type="dcterms:W3CDTF">2026-02-01T22:01:13.032Z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