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0A8" w:rsidRDefault="008D20A8" w:rsidP="008D20A8">
      <w:pPr>
        <w:autoSpaceDE w:val="0"/>
        <w:autoSpaceDN w:val="0"/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Індивідуальн</w:t>
      </w:r>
      <w:r>
        <w:rPr>
          <w:b/>
          <w:sz w:val="28"/>
          <w:szCs w:val="28"/>
          <w:lang w:val="uk-UA" w:eastAsia="uk-UA"/>
        </w:rPr>
        <w:t>е</w:t>
      </w:r>
      <w:r w:rsidRPr="00355405">
        <w:rPr>
          <w:b/>
          <w:sz w:val="28"/>
          <w:szCs w:val="28"/>
          <w:lang w:val="uk-UA" w:eastAsia="uk-UA"/>
        </w:rPr>
        <w:t xml:space="preserve"> </w:t>
      </w:r>
      <w:r w:rsidRPr="00355405">
        <w:rPr>
          <w:b/>
          <w:sz w:val="28"/>
          <w:szCs w:val="28"/>
          <w:shd w:val="clear" w:color="auto" w:fill="FFFFFF"/>
          <w:lang w:val="uk-UA"/>
        </w:rPr>
        <w:t>самостійн</w:t>
      </w:r>
      <w:r>
        <w:rPr>
          <w:b/>
          <w:sz w:val="28"/>
          <w:szCs w:val="28"/>
          <w:shd w:val="clear" w:color="auto" w:fill="FFFFFF"/>
          <w:lang w:val="uk-UA"/>
        </w:rPr>
        <w:t>е</w:t>
      </w:r>
      <w:r w:rsidRPr="0035540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355405">
        <w:rPr>
          <w:b/>
          <w:sz w:val="28"/>
          <w:szCs w:val="28"/>
          <w:lang w:val="uk-UA" w:eastAsia="uk-UA"/>
        </w:rPr>
        <w:t>завдання</w:t>
      </w:r>
    </w:p>
    <w:p w:rsidR="008D20A8" w:rsidRPr="007E0608" w:rsidRDefault="008D20A8" w:rsidP="008D20A8">
      <w:pPr>
        <w:autoSpaceDE w:val="0"/>
        <w:autoSpaceDN w:val="0"/>
        <w:ind w:firstLine="567"/>
        <w:jc w:val="both"/>
        <w:rPr>
          <w:b/>
          <w:color w:val="000000"/>
          <w:sz w:val="28"/>
          <w:szCs w:val="28"/>
          <w:lang w:val="uk-UA" w:eastAsia="uk-UA"/>
        </w:rPr>
      </w:pPr>
    </w:p>
    <w:p w:rsidR="008D20A8" w:rsidRPr="007E0608" w:rsidRDefault="008D20A8" w:rsidP="008D20A8">
      <w:pPr>
        <w:pStyle w:val="3"/>
        <w:rPr>
          <w:sz w:val="28"/>
          <w:szCs w:val="28"/>
        </w:rPr>
      </w:pPr>
      <w:r w:rsidRPr="007E0608">
        <w:rPr>
          <w:sz w:val="28"/>
          <w:szCs w:val="28"/>
        </w:rPr>
        <w:t xml:space="preserve">Протягом вивчення дисципліни </w:t>
      </w:r>
      <w:r>
        <w:rPr>
          <w:sz w:val="28"/>
          <w:szCs w:val="28"/>
        </w:rPr>
        <w:t>здобувачі освіти</w:t>
      </w:r>
      <w:r w:rsidRPr="007E0608">
        <w:rPr>
          <w:sz w:val="28"/>
          <w:szCs w:val="28"/>
        </w:rPr>
        <w:t xml:space="preserve"> самостійного готують реферат за темами з рекомендованого переліку, або за самостійно обраною темою, попередньо узгодженою з викладачем. Реферат має бути літературно та технічно грамотно викладений і відповідати певним вимогам оформлення. Він повинн</w:t>
      </w:r>
      <w:r>
        <w:rPr>
          <w:sz w:val="28"/>
          <w:szCs w:val="28"/>
        </w:rPr>
        <w:t>е</w:t>
      </w:r>
      <w:r w:rsidRPr="007E0608">
        <w:rPr>
          <w:sz w:val="28"/>
          <w:szCs w:val="28"/>
        </w:rPr>
        <w:t xml:space="preserve"> включати титульну сторінку, план реферату (зміст), виклад матеріалу згідно із планом, заключну частину, список першоджерел, додатки (за необхідністю).</w:t>
      </w:r>
    </w:p>
    <w:p w:rsidR="008D20A8" w:rsidRPr="007E0608" w:rsidRDefault="008D20A8" w:rsidP="008D20A8">
      <w:pPr>
        <w:pStyle w:val="a3"/>
        <w:widowControl w:val="0"/>
        <w:ind w:firstLine="340"/>
        <w:jc w:val="both"/>
        <w:rPr>
          <w:sz w:val="28"/>
          <w:szCs w:val="28"/>
        </w:rPr>
      </w:pPr>
      <w:r w:rsidRPr="007E0608">
        <w:rPr>
          <w:sz w:val="28"/>
          <w:szCs w:val="28"/>
        </w:rPr>
        <w:t>Реферат має бути надрукований з одного боку білого паперу формату А4 (210х297 мм). Загальний обсяг реферату, включаючи список використаних літературних джерел та додатки, 20 – 25 сторінок, надрукованих через 1,5 інтервалу (30 рядків на сторінці) шрифтом “</w:t>
      </w:r>
      <w:r w:rsidRPr="007E0608">
        <w:rPr>
          <w:sz w:val="28"/>
          <w:szCs w:val="28"/>
          <w:lang w:val="en-US"/>
        </w:rPr>
        <w:t>Times</w:t>
      </w:r>
      <w:r w:rsidRPr="007E0608">
        <w:rPr>
          <w:sz w:val="28"/>
          <w:szCs w:val="28"/>
        </w:rPr>
        <w:t xml:space="preserve"> </w:t>
      </w:r>
      <w:r w:rsidRPr="007E0608">
        <w:rPr>
          <w:sz w:val="28"/>
          <w:szCs w:val="28"/>
          <w:lang w:val="en-US"/>
        </w:rPr>
        <w:t>New</w:t>
      </w:r>
      <w:r w:rsidRPr="007E0608">
        <w:rPr>
          <w:sz w:val="28"/>
          <w:szCs w:val="28"/>
        </w:rPr>
        <w:t xml:space="preserve"> </w:t>
      </w:r>
      <w:r w:rsidRPr="007E0608">
        <w:rPr>
          <w:sz w:val="28"/>
          <w:szCs w:val="28"/>
          <w:lang w:val="en-US"/>
        </w:rPr>
        <w:t>Roman</w:t>
      </w:r>
      <w:r w:rsidRPr="007E0608">
        <w:rPr>
          <w:sz w:val="28"/>
          <w:szCs w:val="28"/>
        </w:rPr>
        <w:t>” розміром 14 пунктів (60</w:t>
      </w:r>
      <w:r w:rsidRPr="007E0608">
        <w:rPr>
          <w:i/>
          <w:sz w:val="28"/>
          <w:szCs w:val="28"/>
        </w:rPr>
        <w:t xml:space="preserve"> </w:t>
      </w:r>
      <w:r w:rsidRPr="007E0608">
        <w:rPr>
          <w:sz w:val="28"/>
          <w:szCs w:val="28"/>
        </w:rPr>
        <w:t xml:space="preserve">знаків у рядку, враховуючи проміжки між словами). </w:t>
      </w:r>
    </w:p>
    <w:p w:rsidR="008D20A8" w:rsidRPr="007E0608" w:rsidRDefault="008D20A8" w:rsidP="008D20A8">
      <w:pPr>
        <w:pStyle w:val="a3"/>
        <w:widowControl w:val="0"/>
        <w:ind w:firstLine="340"/>
        <w:jc w:val="both"/>
        <w:rPr>
          <w:i/>
          <w:sz w:val="28"/>
          <w:szCs w:val="28"/>
        </w:rPr>
      </w:pPr>
      <w:r w:rsidRPr="007E0608">
        <w:rPr>
          <w:sz w:val="28"/>
          <w:szCs w:val="28"/>
        </w:rPr>
        <w:t>Аркуш реферату повинен мати поля: ліве – 20 мм, верхнє – 20 мм, праве – 10 мм, нижнє – 20 мм</w:t>
      </w:r>
      <w:r w:rsidRPr="007E0608">
        <w:rPr>
          <w:i/>
          <w:sz w:val="28"/>
          <w:szCs w:val="28"/>
        </w:rPr>
        <w:t xml:space="preserve">. </w:t>
      </w:r>
    </w:p>
    <w:p w:rsidR="008D20A8" w:rsidRPr="007E0608" w:rsidRDefault="008D20A8" w:rsidP="008D20A8">
      <w:pPr>
        <w:pStyle w:val="a3"/>
        <w:widowControl w:val="0"/>
        <w:ind w:firstLine="340"/>
        <w:jc w:val="both"/>
        <w:rPr>
          <w:sz w:val="28"/>
          <w:szCs w:val="28"/>
        </w:rPr>
      </w:pPr>
      <w:r w:rsidRPr="007E0608">
        <w:rPr>
          <w:sz w:val="28"/>
          <w:szCs w:val="28"/>
        </w:rPr>
        <w:t>Нумеруються всі сторінки роботи до останньої, враховуючи ілюстрації</w:t>
      </w:r>
      <w:r w:rsidRPr="007E0608">
        <w:rPr>
          <w:b/>
          <w:sz w:val="28"/>
          <w:szCs w:val="28"/>
        </w:rPr>
        <w:t xml:space="preserve"> </w:t>
      </w:r>
      <w:r w:rsidRPr="007E0608">
        <w:rPr>
          <w:sz w:val="28"/>
          <w:szCs w:val="28"/>
        </w:rPr>
        <w:t>та додатки, без пропусків, повторів і</w:t>
      </w:r>
      <w:r w:rsidRPr="007E0608">
        <w:rPr>
          <w:b/>
          <w:sz w:val="28"/>
          <w:szCs w:val="28"/>
        </w:rPr>
        <w:t xml:space="preserve"> </w:t>
      </w:r>
      <w:r w:rsidRPr="007E0608">
        <w:rPr>
          <w:sz w:val="28"/>
          <w:szCs w:val="28"/>
        </w:rPr>
        <w:t>літерних додатків. Першою сторінкою вважається титульна, на якій цифра “1” не ставиться. Отже, загальна нумерація роботи починається на наступній сторінці (зміст реферату) з цифри “2”. Порядковий номер сторінки проставляється з права її верхнього поля.</w:t>
      </w:r>
    </w:p>
    <w:p w:rsidR="008D20A8" w:rsidRPr="007E0608" w:rsidRDefault="008D20A8" w:rsidP="008D20A8">
      <w:pPr>
        <w:pStyle w:val="a3"/>
        <w:widowControl w:val="0"/>
        <w:ind w:firstLine="340"/>
        <w:jc w:val="both"/>
        <w:rPr>
          <w:sz w:val="28"/>
          <w:szCs w:val="28"/>
        </w:rPr>
      </w:pPr>
      <w:r w:rsidRPr="00F13BB2">
        <w:rPr>
          <w:sz w:val="28"/>
          <w:szCs w:val="28"/>
        </w:rPr>
        <w:t>Текст реферату може ілюструватись схемами, фотографіями, графіками, таблицями, які також виконуються на стандартних аркушах паперу формату А4. Кількість ілюстрацій повинна бути</w:t>
      </w:r>
      <w:r w:rsidRPr="007E0608">
        <w:rPr>
          <w:sz w:val="28"/>
          <w:szCs w:val="28"/>
        </w:rPr>
        <w:t xml:space="preserve"> достатньою для того, щоб надати тексту зрозумілості та конкретності. Усі ілюстрації (фотографії, схеми тощо) називають рисунками і</w:t>
      </w:r>
      <w:r w:rsidRPr="007E0608">
        <w:rPr>
          <w:b/>
          <w:sz w:val="28"/>
          <w:szCs w:val="28"/>
        </w:rPr>
        <w:t xml:space="preserve"> </w:t>
      </w:r>
      <w:r w:rsidRPr="007E0608">
        <w:rPr>
          <w:sz w:val="28"/>
          <w:szCs w:val="28"/>
        </w:rPr>
        <w:t>нумерують послідовно. Номер і назву рисунка пишуть під графічним зображенням</w:t>
      </w:r>
      <w:r w:rsidRPr="007E0608">
        <w:rPr>
          <w:i/>
          <w:sz w:val="28"/>
          <w:szCs w:val="28"/>
        </w:rPr>
        <w:t xml:space="preserve">. </w:t>
      </w:r>
      <w:r w:rsidRPr="007E0608">
        <w:rPr>
          <w:sz w:val="28"/>
          <w:szCs w:val="28"/>
        </w:rPr>
        <w:t xml:space="preserve">Ілюстративний матеріал розміщують у тексті одразу після посилання на нього. </w:t>
      </w:r>
    </w:p>
    <w:p w:rsidR="008D20A8" w:rsidRPr="006759DF" w:rsidRDefault="008D20A8" w:rsidP="008D20A8">
      <w:pPr>
        <w:pStyle w:val="2"/>
        <w:spacing w:after="0" w:line="240" w:lineRule="auto"/>
        <w:ind w:left="0" w:firstLine="340"/>
        <w:jc w:val="both"/>
        <w:rPr>
          <w:szCs w:val="28"/>
          <w:lang w:val="uk-UA"/>
        </w:rPr>
      </w:pPr>
      <w:r w:rsidRPr="006759DF">
        <w:rPr>
          <w:szCs w:val="28"/>
          <w:lang w:val="uk-UA"/>
        </w:rPr>
        <w:t>На запозичену з інших джерел інформацію, а також на цитати, що наводяться в тексті, мають бути зроблені посилання. Їх наводять одразу після закінчення цитати в квадратних дужках, де вказують порядковий номер джерела у списку використаної літератури та відповідні сторінки джерела, наприклад, [14, с. 31–48].</w:t>
      </w:r>
    </w:p>
    <w:p w:rsidR="008D20A8" w:rsidRPr="006759DF" w:rsidRDefault="008D20A8" w:rsidP="008D20A8">
      <w:pPr>
        <w:pStyle w:val="2"/>
        <w:spacing w:after="0" w:line="240" w:lineRule="auto"/>
        <w:ind w:left="0" w:firstLine="340"/>
        <w:jc w:val="both"/>
        <w:rPr>
          <w:szCs w:val="28"/>
          <w:lang w:val="uk-UA"/>
        </w:rPr>
      </w:pPr>
      <w:r w:rsidRPr="006759DF">
        <w:rPr>
          <w:szCs w:val="28"/>
          <w:lang w:val="uk-UA"/>
        </w:rPr>
        <w:t>Робота на рефератом починається з першого тижня викладання дисципліни за наступним планом:</w:t>
      </w:r>
    </w:p>
    <w:p w:rsidR="008D20A8" w:rsidRPr="006759DF" w:rsidRDefault="008D20A8" w:rsidP="008D20A8">
      <w:pPr>
        <w:pStyle w:val="2"/>
        <w:spacing w:after="0" w:line="240" w:lineRule="auto"/>
        <w:ind w:left="0" w:firstLine="340"/>
        <w:jc w:val="both"/>
        <w:rPr>
          <w:szCs w:val="28"/>
          <w:lang w:val="uk-UA"/>
        </w:rPr>
      </w:pPr>
      <w:r w:rsidRPr="006759DF">
        <w:rPr>
          <w:i/>
          <w:iCs/>
          <w:szCs w:val="28"/>
          <w:u w:val="single"/>
          <w:lang w:val="uk-UA"/>
        </w:rPr>
        <w:t>Тиждень 1-4.</w:t>
      </w:r>
      <w:r w:rsidRPr="006759DF">
        <w:rPr>
          <w:szCs w:val="28"/>
          <w:lang w:val="uk-UA"/>
        </w:rPr>
        <w:t xml:space="preserve"> Вибір теми, складання плану, підбір літератури. Тема і план затверджуються з викладачем, список літератури оформлюється в алфавітному порядку (не менше 10 джерел) і перевіряється викладачем.</w:t>
      </w:r>
    </w:p>
    <w:p w:rsidR="008D20A8" w:rsidRPr="006759DF" w:rsidRDefault="008D20A8" w:rsidP="008D20A8">
      <w:pPr>
        <w:pStyle w:val="3"/>
        <w:widowControl/>
        <w:rPr>
          <w:sz w:val="28"/>
          <w:szCs w:val="28"/>
        </w:rPr>
      </w:pPr>
      <w:r w:rsidRPr="006759DF">
        <w:rPr>
          <w:i/>
          <w:iCs/>
          <w:sz w:val="28"/>
          <w:szCs w:val="28"/>
          <w:u w:val="single"/>
        </w:rPr>
        <w:t>Тиждень 5 – 14.</w:t>
      </w:r>
      <w:r w:rsidRPr="006759DF">
        <w:rPr>
          <w:sz w:val="28"/>
          <w:szCs w:val="28"/>
        </w:rPr>
        <w:t xml:space="preserve"> Опрацювання відібраної літератури. Написання реферату. Консультації з викладачем.</w:t>
      </w:r>
    </w:p>
    <w:p w:rsidR="008D20A8" w:rsidRPr="006759DF" w:rsidRDefault="008D20A8" w:rsidP="008D20A8">
      <w:pPr>
        <w:pStyle w:val="3"/>
        <w:widowControl/>
        <w:rPr>
          <w:sz w:val="28"/>
          <w:szCs w:val="28"/>
        </w:rPr>
      </w:pPr>
      <w:r w:rsidRPr="006759DF">
        <w:rPr>
          <w:i/>
          <w:iCs/>
          <w:sz w:val="28"/>
          <w:szCs w:val="28"/>
          <w:u w:val="single"/>
        </w:rPr>
        <w:t>Тиждень 14.</w:t>
      </w:r>
      <w:r w:rsidRPr="006759DF">
        <w:rPr>
          <w:sz w:val="28"/>
          <w:szCs w:val="28"/>
        </w:rPr>
        <w:t xml:space="preserve"> Оформлення і здача реферату на перевірку.</w:t>
      </w:r>
    </w:p>
    <w:p w:rsidR="008D20A8" w:rsidRPr="006759DF" w:rsidRDefault="008D20A8" w:rsidP="008D20A8">
      <w:pPr>
        <w:pStyle w:val="3"/>
        <w:widowControl/>
        <w:rPr>
          <w:sz w:val="28"/>
          <w:szCs w:val="28"/>
        </w:rPr>
      </w:pPr>
      <w:r w:rsidRPr="006759DF">
        <w:rPr>
          <w:i/>
          <w:iCs/>
          <w:sz w:val="28"/>
          <w:szCs w:val="28"/>
          <w:u w:val="single"/>
        </w:rPr>
        <w:t>Тиждень 15.</w:t>
      </w:r>
      <w:r w:rsidRPr="006759DF">
        <w:rPr>
          <w:sz w:val="28"/>
          <w:szCs w:val="28"/>
        </w:rPr>
        <w:t xml:space="preserve"> Виправлення недоліків і підготовка доповіді.</w:t>
      </w:r>
    </w:p>
    <w:p w:rsidR="008D20A8" w:rsidRPr="006759DF" w:rsidRDefault="008D20A8" w:rsidP="008D20A8">
      <w:pPr>
        <w:pStyle w:val="3"/>
        <w:widowControl/>
        <w:rPr>
          <w:sz w:val="28"/>
          <w:szCs w:val="28"/>
        </w:rPr>
      </w:pPr>
      <w:r w:rsidRPr="006759DF">
        <w:rPr>
          <w:i/>
          <w:iCs/>
          <w:sz w:val="28"/>
          <w:szCs w:val="28"/>
          <w:u w:val="single"/>
        </w:rPr>
        <w:lastRenderedPageBreak/>
        <w:t>Тиждень 16.</w:t>
      </w:r>
      <w:r w:rsidRPr="006759DF">
        <w:rPr>
          <w:sz w:val="28"/>
          <w:szCs w:val="28"/>
        </w:rPr>
        <w:t xml:space="preserve"> Захист реферату.</w:t>
      </w:r>
    </w:p>
    <w:p w:rsidR="008D20A8" w:rsidRPr="002018F2" w:rsidRDefault="008D20A8" w:rsidP="008D20A8">
      <w:pPr>
        <w:pStyle w:val="3"/>
        <w:widowControl/>
        <w:ind w:firstLine="0"/>
        <w:rPr>
          <w:sz w:val="28"/>
          <w:szCs w:val="28"/>
          <w:highlight w:val="yellow"/>
        </w:rPr>
      </w:pPr>
    </w:p>
    <w:p w:rsidR="008D20A8" w:rsidRPr="007E0608" w:rsidRDefault="008D20A8" w:rsidP="008D20A8">
      <w:pPr>
        <w:ind w:firstLine="340"/>
        <w:jc w:val="center"/>
        <w:rPr>
          <w:b/>
          <w:sz w:val="28"/>
          <w:szCs w:val="28"/>
          <w:lang w:val="uk-UA"/>
        </w:rPr>
      </w:pPr>
      <w:r w:rsidRPr="007E0608">
        <w:rPr>
          <w:b/>
          <w:sz w:val="28"/>
          <w:szCs w:val="28"/>
          <w:lang w:val="uk-UA"/>
        </w:rPr>
        <w:t>Рекомендований перелік тем рефератів</w:t>
      </w:r>
    </w:p>
    <w:p w:rsidR="008D20A8" w:rsidRPr="00042F83" w:rsidRDefault="008D20A8" w:rsidP="008D20A8">
      <w:pPr>
        <w:pStyle w:val="3"/>
        <w:widowControl/>
        <w:rPr>
          <w:sz w:val="28"/>
          <w:szCs w:val="28"/>
        </w:rPr>
      </w:pP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Pr="004E66DE">
        <w:rPr>
          <w:sz w:val="28"/>
          <w:szCs w:val="28"/>
          <w:lang w:val="uk-UA" w:eastAsia="uk-UA"/>
        </w:rPr>
        <w:t xml:space="preserve">. </w:t>
      </w:r>
      <w:r w:rsidRPr="004E66DE">
        <w:rPr>
          <w:rFonts w:eastAsia="TimesNewRoman"/>
          <w:sz w:val="28"/>
          <w:szCs w:val="28"/>
          <w:lang w:val="uk-UA" w:eastAsia="uk-UA"/>
        </w:rPr>
        <w:t>Предмет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завдання і функції навчальної дисципліни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2. </w:t>
      </w:r>
      <w:r w:rsidRPr="004E66DE">
        <w:rPr>
          <w:rFonts w:eastAsia="TimesNewRoman"/>
          <w:sz w:val="28"/>
          <w:szCs w:val="28"/>
          <w:lang w:val="uk-UA" w:eastAsia="uk-UA"/>
        </w:rPr>
        <w:t>Основні категорії теорії самоменеджменту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самоуправління людини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4.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концепції раціонального життя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5.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концепції обмежень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6.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концепції раціональної організації часу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7.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раціонально</w:t>
      </w:r>
      <w:r w:rsidRPr="004E66DE">
        <w:rPr>
          <w:sz w:val="28"/>
          <w:szCs w:val="28"/>
          <w:lang w:val="uk-UA" w:eastAsia="uk-UA"/>
        </w:rPr>
        <w:t>-</w:t>
      </w:r>
      <w:r w:rsidRPr="004E66DE">
        <w:rPr>
          <w:rFonts w:eastAsia="TimesNewRoman"/>
          <w:sz w:val="28"/>
          <w:szCs w:val="28"/>
          <w:lang w:val="uk-UA" w:eastAsia="uk-UA"/>
        </w:rPr>
        <w:t>психологічної концепції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8.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акмеолого</w:t>
      </w:r>
      <w:r w:rsidRPr="004E66DE">
        <w:rPr>
          <w:sz w:val="28"/>
          <w:szCs w:val="28"/>
          <w:lang w:val="uk-UA" w:eastAsia="uk-UA"/>
        </w:rPr>
        <w:t>-</w:t>
      </w:r>
      <w:r w:rsidRPr="004E66DE">
        <w:rPr>
          <w:rFonts w:eastAsia="TimesNewRoman"/>
          <w:sz w:val="28"/>
          <w:szCs w:val="28"/>
          <w:lang w:val="uk-UA" w:eastAsia="uk-UA"/>
        </w:rPr>
        <w:t>технологічної концепції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9.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східної концепції самоуправління людиною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10. </w:t>
      </w:r>
      <w:r w:rsidRPr="004E66DE">
        <w:rPr>
          <w:rFonts w:eastAsia="TimesNewRoman"/>
          <w:sz w:val="28"/>
          <w:szCs w:val="28"/>
          <w:lang w:val="uk-UA" w:eastAsia="uk-UA"/>
        </w:rPr>
        <w:t>Сутність і зміст концепції самоуправління людиною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11. </w:t>
      </w:r>
      <w:r w:rsidRPr="004E66DE">
        <w:rPr>
          <w:rFonts w:eastAsia="TimesNewRoman"/>
          <w:sz w:val="28"/>
          <w:szCs w:val="28"/>
          <w:lang w:val="uk-UA" w:eastAsia="uk-UA"/>
        </w:rPr>
        <w:t>Контури інтегральної моделі самоменеджменту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12. </w:t>
      </w:r>
      <w:r w:rsidRPr="004E66DE">
        <w:rPr>
          <w:rFonts w:eastAsia="TimesNewRoman"/>
          <w:sz w:val="28"/>
          <w:szCs w:val="28"/>
          <w:lang w:val="uk-UA" w:eastAsia="uk-UA"/>
        </w:rPr>
        <w:t>Людина як суб</w:t>
      </w:r>
      <w:r w:rsidRPr="004E66DE">
        <w:rPr>
          <w:sz w:val="28"/>
          <w:szCs w:val="28"/>
          <w:lang w:val="uk-UA" w:eastAsia="uk-UA"/>
        </w:rPr>
        <w:t>’</w:t>
      </w:r>
      <w:r w:rsidRPr="004E66DE">
        <w:rPr>
          <w:rFonts w:eastAsia="TimesNewRoman"/>
          <w:sz w:val="28"/>
          <w:szCs w:val="28"/>
          <w:lang w:val="uk-UA" w:eastAsia="uk-UA"/>
        </w:rPr>
        <w:t>єкт і об</w:t>
      </w:r>
      <w:r w:rsidRPr="004E66DE">
        <w:rPr>
          <w:sz w:val="28"/>
          <w:szCs w:val="28"/>
          <w:lang w:val="uk-UA" w:eastAsia="uk-UA"/>
        </w:rPr>
        <w:t>’</w:t>
      </w:r>
      <w:r w:rsidRPr="004E66DE">
        <w:rPr>
          <w:rFonts w:eastAsia="TimesNewRoman"/>
          <w:sz w:val="28"/>
          <w:szCs w:val="28"/>
          <w:lang w:val="uk-UA" w:eastAsia="uk-UA"/>
        </w:rPr>
        <w:t>єкт самоуправління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13. </w:t>
      </w:r>
      <w:r w:rsidRPr="004E66DE">
        <w:rPr>
          <w:rFonts w:eastAsia="TimesNewRoman"/>
          <w:sz w:val="28"/>
          <w:szCs w:val="28"/>
          <w:lang w:val="uk-UA" w:eastAsia="uk-UA"/>
        </w:rPr>
        <w:t>Організація нервової системи людини як основа системи управління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14. </w:t>
      </w:r>
      <w:r w:rsidRPr="004E66DE">
        <w:rPr>
          <w:rFonts w:eastAsia="TimesNewRoman"/>
          <w:sz w:val="28"/>
          <w:szCs w:val="28"/>
          <w:lang w:val="uk-UA" w:eastAsia="uk-UA"/>
        </w:rPr>
        <w:t>Основи організації центральної нервової системи й інформаційний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обмін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>15.</w:t>
      </w:r>
      <w:r w:rsidRPr="004E66DE">
        <w:rPr>
          <w:sz w:val="28"/>
          <w:szCs w:val="28"/>
          <w:lang w:val="en-US" w:eastAsia="uk-UA"/>
        </w:rPr>
        <w:t> </w:t>
      </w:r>
      <w:r w:rsidRPr="004E66DE">
        <w:rPr>
          <w:rFonts w:eastAsia="TimesNewRoman"/>
          <w:sz w:val="28"/>
          <w:szCs w:val="28"/>
          <w:lang w:val="uk-UA" w:eastAsia="uk-UA"/>
        </w:rPr>
        <w:t>Особливості інформаційного обміну людини як біосоціальної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духовної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інформаційно</w:t>
      </w:r>
      <w:r w:rsidRPr="004E66DE">
        <w:rPr>
          <w:sz w:val="28"/>
          <w:szCs w:val="28"/>
          <w:lang w:val="uk-UA" w:eastAsia="uk-UA"/>
        </w:rPr>
        <w:t>-</w:t>
      </w:r>
      <w:r w:rsidRPr="004E66DE">
        <w:rPr>
          <w:rFonts w:eastAsia="TimesNewRoman"/>
          <w:sz w:val="28"/>
          <w:szCs w:val="28"/>
          <w:lang w:val="uk-UA" w:eastAsia="uk-UA"/>
        </w:rPr>
        <w:t>енергетичної системи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16. </w:t>
      </w:r>
      <w:r w:rsidRPr="004E66DE">
        <w:rPr>
          <w:rFonts w:eastAsia="TimesNewRoman"/>
          <w:sz w:val="28"/>
          <w:szCs w:val="28"/>
          <w:lang w:val="uk-UA" w:eastAsia="uk-UA"/>
        </w:rPr>
        <w:t>Основи саморегуляції людського організму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17. </w:t>
      </w:r>
      <w:r w:rsidRPr="004E66DE">
        <w:rPr>
          <w:rFonts w:eastAsia="TimesNewRoman"/>
          <w:sz w:val="28"/>
          <w:szCs w:val="28"/>
          <w:lang w:val="uk-UA" w:eastAsia="uk-UA"/>
        </w:rPr>
        <w:t>Модель процесу комунікації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18. </w:t>
      </w:r>
      <w:r w:rsidRPr="004E66DE">
        <w:rPr>
          <w:rFonts w:eastAsia="TimesNewRoman"/>
          <w:sz w:val="28"/>
          <w:szCs w:val="28"/>
          <w:lang w:val="uk-UA" w:eastAsia="uk-UA"/>
        </w:rPr>
        <w:t>Формування моделі світу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її роль у життєдіяльності людини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19. </w:t>
      </w:r>
      <w:r w:rsidRPr="004E66DE">
        <w:rPr>
          <w:rFonts w:eastAsia="TimesNewRoman"/>
          <w:sz w:val="28"/>
          <w:szCs w:val="28"/>
          <w:lang w:val="uk-UA" w:eastAsia="uk-UA"/>
        </w:rPr>
        <w:t>Основи біоритмології та самоменеджмент людини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20. </w:t>
      </w:r>
      <w:r w:rsidRPr="004E66DE">
        <w:rPr>
          <w:rFonts w:eastAsia="TimesNewRoman"/>
          <w:sz w:val="28"/>
          <w:szCs w:val="28"/>
          <w:lang w:val="uk-UA" w:eastAsia="uk-UA"/>
        </w:rPr>
        <w:t>Характеристика загальних законів управління людиною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21. </w:t>
      </w:r>
      <w:r w:rsidRPr="004E66DE">
        <w:rPr>
          <w:rFonts w:eastAsia="TimesNewRoman"/>
          <w:sz w:val="28"/>
          <w:szCs w:val="28"/>
          <w:lang w:val="uk-UA" w:eastAsia="uk-UA"/>
        </w:rPr>
        <w:t>Характеристика специфічних законів управління людиною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22. </w:t>
      </w:r>
      <w:r w:rsidRPr="004E66DE">
        <w:rPr>
          <w:rFonts w:eastAsia="TimesNewRoman"/>
          <w:sz w:val="28"/>
          <w:szCs w:val="28"/>
          <w:lang w:val="uk-UA" w:eastAsia="uk-UA"/>
        </w:rPr>
        <w:t>Ціль у самоменеджменті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основні цілі в житті сучасної людини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>23.</w:t>
      </w:r>
      <w:r w:rsidRPr="004E66DE">
        <w:rPr>
          <w:sz w:val="28"/>
          <w:szCs w:val="28"/>
          <w:lang w:val="en-US" w:eastAsia="uk-UA"/>
        </w:rPr>
        <w:t> </w:t>
      </w:r>
      <w:r w:rsidRPr="004E66DE">
        <w:rPr>
          <w:rFonts w:eastAsia="TimesNewRoman"/>
          <w:sz w:val="28"/>
          <w:szCs w:val="28"/>
          <w:lang w:val="uk-UA" w:eastAsia="uk-UA"/>
        </w:rPr>
        <w:t>Оцінювання життєвої ситуації як етап стратегічного самоменеджменту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24.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Уточнення моделі і </w:t>
      </w:r>
      <w:r w:rsidRPr="004E66DE">
        <w:rPr>
          <w:sz w:val="28"/>
          <w:szCs w:val="28"/>
          <w:lang w:val="uk-UA" w:eastAsia="uk-UA"/>
        </w:rPr>
        <w:t>“</w:t>
      </w:r>
      <w:r w:rsidRPr="004E66DE">
        <w:rPr>
          <w:rFonts w:eastAsia="TimesNewRoman"/>
          <w:sz w:val="28"/>
          <w:szCs w:val="28"/>
          <w:lang w:val="uk-UA" w:eastAsia="uk-UA"/>
        </w:rPr>
        <w:t>траєкторії</w:t>
      </w:r>
      <w:r w:rsidRPr="004E66DE">
        <w:rPr>
          <w:sz w:val="28"/>
          <w:szCs w:val="28"/>
          <w:lang w:val="uk-UA" w:eastAsia="uk-UA"/>
        </w:rPr>
        <w:t xml:space="preserve">” </w:t>
      </w:r>
      <w:r w:rsidRPr="004E66DE">
        <w:rPr>
          <w:rFonts w:eastAsia="TimesNewRoman"/>
          <w:sz w:val="28"/>
          <w:szCs w:val="28"/>
          <w:lang w:val="uk-UA" w:eastAsia="uk-UA"/>
        </w:rPr>
        <w:t>життя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25. </w:t>
      </w:r>
      <w:r w:rsidRPr="004E66DE">
        <w:rPr>
          <w:rFonts w:eastAsia="TimesNewRoman"/>
          <w:sz w:val="28"/>
          <w:szCs w:val="28"/>
          <w:lang w:val="uk-UA" w:eastAsia="uk-UA"/>
        </w:rPr>
        <w:t>Визначення мети життя й основ задуму для її досягнення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26. </w:t>
      </w:r>
      <w:r w:rsidRPr="004E66DE">
        <w:rPr>
          <w:rFonts w:eastAsia="TimesNewRoman"/>
          <w:sz w:val="28"/>
          <w:szCs w:val="28"/>
          <w:lang w:val="uk-UA" w:eastAsia="uk-UA"/>
        </w:rPr>
        <w:t>Оцінювання ситуації і прийняття стратегічних рішень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27. </w:t>
      </w:r>
      <w:r w:rsidRPr="004E66DE">
        <w:rPr>
          <w:rFonts w:eastAsia="TimesNewRoman"/>
          <w:sz w:val="28"/>
          <w:szCs w:val="28"/>
          <w:lang w:val="uk-UA" w:eastAsia="uk-UA"/>
        </w:rPr>
        <w:t>Стратегія життя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вибір стратегії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28. </w:t>
      </w:r>
      <w:r w:rsidRPr="004E66DE">
        <w:rPr>
          <w:rFonts w:eastAsia="TimesNewRoman"/>
          <w:sz w:val="28"/>
          <w:szCs w:val="28"/>
          <w:lang w:val="uk-UA" w:eastAsia="uk-UA"/>
        </w:rPr>
        <w:t>Життєва філософія</w:t>
      </w:r>
      <w:r w:rsidRPr="004E66DE">
        <w:rPr>
          <w:sz w:val="28"/>
          <w:szCs w:val="28"/>
          <w:lang w:val="uk-UA" w:eastAsia="uk-UA"/>
        </w:rPr>
        <w:t xml:space="preserve">. </w:t>
      </w:r>
      <w:r w:rsidRPr="004E66DE">
        <w:rPr>
          <w:rFonts w:eastAsia="TimesNewRoman"/>
          <w:sz w:val="28"/>
          <w:szCs w:val="28"/>
          <w:lang w:val="uk-UA" w:eastAsia="uk-UA"/>
        </w:rPr>
        <w:t>Система життєвих цілей</w:t>
      </w:r>
      <w:r w:rsidRPr="004E66DE">
        <w:rPr>
          <w:sz w:val="28"/>
          <w:szCs w:val="28"/>
          <w:lang w:val="uk-UA" w:eastAsia="uk-UA"/>
        </w:rPr>
        <w:t xml:space="preserve">. </w:t>
      </w:r>
      <w:r w:rsidRPr="004E66DE">
        <w:rPr>
          <w:rFonts w:eastAsia="TimesNewRoman"/>
          <w:sz w:val="28"/>
          <w:szCs w:val="28"/>
          <w:lang w:val="uk-UA" w:eastAsia="uk-UA"/>
        </w:rPr>
        <w:t>Єдність духу і тіла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29. </w:t>
      </w:r>
      <w:r w:rsidRPr="004E66DE">
        <w:rPr>
          <w:rFonts w:eastAsia="TimesNewRoman"/>
          <w:sz w:val="28"/>
          <w:szCs w:val="28"/>
          <w:lang w:val="uk-UA" w:eastAsia="uk-UA"/>
        </w:rPr>
        <w:t>Планування життя</w:t>
      </w:r>
      <w:r w:rsidRPr="004E66DE">
        <w:rPr>
          <w:sz w:val="28"/>
          <w:szCs w:val="28"/>
          <w:lang w:val="uk-UA" w:eastAsia="uk-UA"/>
        </w:rPr>
        <w:t xml:space="preserve">; </w:t>
      </w:r>
      <w:r w:rsidRPr="004E66DE">
        <w:rPr>
          <w:rFonts w:eastAsia="TimesNewRoman"/>
          <w:sz w:val="28"/>
          <w:szCs w:val="28"/>
          <w:lang w:val="uk-UA" w:eastAsia="uk-UA"/>
        </w:rPr>
        <w:t>розробка плану життя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30. 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Розробка цільової комплексної програми </w:t>
      </w:r>
      <w:r w:rsidRPr="004E66DE">
        <w:rPr>
          <w:sz w:val="28"/>
          <w:szCs w:val="28"/>
          <w:lang w:val="uk-UA" w:eastAsia="uk-UA"/>
        </w:rPr>
        <w:t>(</w:t>
      </w:r>
      <w:r w:rsidRPr="004E66DE">
        <w:rPr>
          <w:rFonts w:eastAsia="TimesNewRoman"/>
          <w:sz w:val="28"/>
          <w:szCs w:val="28"/>
          <w:lang w:val="uk-UA" w:eastAsia="uk-UA"/>
        </w:rPr>
        <w:t>ЦКП</w:t>
      </w:r>
      <w:r w:rsidRPr="004E66DE">
        <w:rPr>
          <w:sz w:val="28"/>
          <w:szCs w:val="28"/>
          <w:lang w:val="uk-UA" w:eastAsia="uk-UA"/>
        </w:rPr>
        <w:t xml:space="preserve">) </w:t>
      </w:r>
      <w:r w:rsidRPr="004E66DE">
        <w:rPr>
          <w:rFonts w:eastAsia="TimesNewRoman"/>
          <w:sz w:val="28"/>
          <w:szCs w:val="28"/>
          <w:lang w:val="uk-UA" w:eastAsia="uk-UA"/>
        </w:rPr>
        <w:t>життя</w:t>
      </w:r>
      <w:r w:rsidRPr="004E66DE">
        <w:rPr>
          <w:sz w:val="28"/>
          <w:szCs w:val="28"/>
          <w:lang w:val="uk-UA" w:eastAsia="uk-UA"/>
        </w:rPr>
        <w:t xml:space="preserve">; </w:t>
      </w:r>
      <w:r w:rsidRPr="004E66DE">
        <w:rPr>
          <w:rFonts w:eastAsia="TimesNewRoman"/>
          <w:sz w:val="28"/>
          <w:szCs w:val="28"/>
          <w:lang w:val="uk-UA" w:eastAsia="uk-UA"/>
        </w:rPr>
        <w:t>цільовий підхід до планування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31. </w:t>
      </w:r>
      <w:r w:rsidRPr="004E66DE">
        <w:rPr>
          <w:rFonts w:eastAsia="TimesNewRoman"/>
          <w:sz w:val="28"/>
          <w:szCs w:val="28"/>
          <w:lang w:val="uk-UA" w:eastAsia="uk-UA"/>
        </w:rPr>
        <w:t>Стратагеми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їхня сутність і особливості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32. </w:t>
      </w:r>
      <w:r w:rsidRPr="004E66DE">
        <w:rPr>
          <w:rFonts w:eastAsia="TimesNewRoman"/>
          <w:sz w:val="28"/>
          <w:szCs w:val="28"/>
          <w:lang w:val="uk-UA" w:eastAsia="uk-UA"/>
        </w:rPr>
        <w:t>Основи розробки моделі й організаційного проекту життя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33. </w:t>
      </w:r>
      <w:r w:rsidRPr="004E66DE">
        <w:rPr>
          <w:rFonts w:eastAsia="TimesNewRoman"/>
          <w:sz w:val="28"/>
          <w:szCs w:val="28"/>
          <w:lang w:val="uk-UA" w:eastAsia="uk-UA"/>
        </w:rPr>
        <w:t>Стратегічний контроль у життєдіяльності людини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lastRenderedPageBreak/>
        <w:t xml:space="preserve">34. </w:t>
      </w:r>
      <w:r w:rsidRPr="004E66DE">
        <w:rPr>
          <w:rFonts w:eastAsia="TimesNewRoman"/>
          <w:sz w:val="28"/>
          <w:szCs w:val="28"/>
          <w:lang w:val="uk-UA" w:eastAsia="uk-UA"/>
        </w:rPr>
        <w:t>Система чинників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що впливають на стратегічний самоменеджмент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35. </w:t>
      </w:r>
      <w:r w:rsidRPr="004E66DE">
        <w:rPr>
          <w:rFonts w:eastAsia="TimesNewRoman"/>
          <w:sz w:val="28"/>
          <w:szCs w:val="28"/>
          <w:lang w:val="uk-UA" w:eastAsia="uk-UA"/>
        </w:rPr>
        <w:t>Функції повсякденного самоменеджменту</w:t>
      </w:r>
      <w:r w:rsidRPr="004E66DE">
        <w:rPr>
          <w:sz w:val="28"/>
          <w:szCs w:val="28"/>
          <w:lang w:val="uk-UA" w:eastAsia="uk-UA"/>
        </w:rPr>
        <w:t xml:space="preserve">. </w:t>
      </w:r>
      <w:r w:rsidRPr="004E66DE">
        <w:rPr>
          <w:rFonts w:eastAsia="TimesNewRoman"/>
          <w:sz w:val="28"/>
          <w:szCs w:val="28"/>
          <w:lang w:val="uk-UA" w:eastAsia="uk-UA"/>
        </w:rPr>
        <w:t>Циклічність процесу самоменеджменту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36. </w:t>
      </w:r>
      <w:r w:rsidRPr="004E66DE">
        <w:rPr>
          <w:rFonts w:eastAsia="TimesNewRoman"/>
          <w:sz w:val="28"/>
          <w:szCs w:val="28"/>
          <w:lang w:val="uk-UA" w:eastAsia="uk-UA"/>
        </w:rPr>
        <w:t>Інформаційна функція і функція формування мети</w:t>
      </w:r>
      <w:r w:rsidRPr="004E66DE">
        <w:rPr>
          <w:sz w:val="28"/>
          <w:szCs w:val="28"/>
          <w:lang w:val="uk-UA" w:eastAsia="uk-UA"/>
        </w:rPr>
        <w:t xml:space="preserve">, </w:t>
      </w:r>
      <w:r w:rsidRPr="004E66DE">
        <w:rPr>
          <w:rFonts w:eastAsia="TimesNewRoman"/>
          <w:sz w:val="28"/>
          <w:szCs w:val="28"/>
          <w:lang w:val="uk-UA" w:eastAsia="uk-UA"/>
        </w:rPr>
        <w:t>їх стислі характеристики</w:t>
      </w:r>
      <w:r w:rsidRPr="004E66DE">
        <w:rPr>
          <w:sz w:val="28"/>
          <w:szCs w:val="28"/>
          <w:lang w:val="uk-UA" w:eastAsia="uk-UA"/>
        </w:rPr>
        <w:t>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sz w:val="28"/>
          <w:szCs w:val="28"/>
          <w:lang w:val="uk-UA" w:eastAsia="uk-UA"/>
        </w:rPr>
        <w:t xml:space="preserve">37. </w:t>
      </w:r>
      <w:r w:rsidRPr="004E66DE">
        <w:rPr>
          <w:rFonts w:eastAsia="TimesNewRoman"/>
          <w:sz w:val="28"/>
          <w:szCs w:val="28"/>
          <w:lang w:val="uk-UA" w:eastAsia="uk-UA"/>
        </w:rPr>
        <w:t>Функція прийняття рішення в щоденному самоменеджменті.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38. Алгоритм організації роботи у прийнятті рішень.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39. Планування щоденного самоменеджменту; план робочого дня (варіант).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40. Планування робочого дня за методом “Альп”.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41. Основи організації повсякденного самоменеджменту.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42. НОП як функція самоменеджменту, що відокремилася.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43. Основи регулювання повсякденної діяльності.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44. Особливості реалізації функції повсякденного контролю.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45. Інтеграційно-координуюча функція в самоменеджменті, її стисла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характеристика.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46. Основні методи саморегуляції в самоменеджменті.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47. Основи технології порозуміння.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48. Сутність і можливості соціокультурних технологій.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49. Основні технології комунікацій.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50. Поняття модальності сприйняття. Індикатори визначення модальності.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51. Сутність техніки досягнення порозуміння в комунікації.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52. Сутність і особливості психофізіологічних технологій самоуправління.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53. Аутотренінг як засіб зняття стресів і здійснення самоорганізації (самоуправління). Сутність і можливості.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54. Медитація як основа технологій самоуправління в східній культурі, сутність і можливості.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55. Сутність і можливості техніки “Рефреймінг”.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56. Боротьба як форма життєдіяльності і діяльності людини.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57. Боротьба в управлінській діяльності.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58. Стратагеми, їх використання у практичній діяльності.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59. Особливості боротьби за столом переговорів.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60. Принципи боротьби, їх стисла характеристика.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61. Праксеологічний підхід до ведення боротьби, його сутність і особливості.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62. Кар’єра як об’єкт самоменеджменту, її сутність, види й етапи.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63. Вибір фахової кар’єри.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64. Особливості стратегічного самоменеджменту у досягненні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“кар’єрних цілей”.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lastRenderedPageBreak/>
        <w:t>65. “Ліфти”, “сита” і “розподільники” соціального просування в діловій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сфері.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66. Специфіка функціонування соціальних механізмів регулювання ділової кар’єри в Україні.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67. Здоров’я як життєва цінність і основна передумова успішної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кар’єри. Поняття “валеологічний паспорт”.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68. Стрес, його прояви в роботі і наслідки для кар’єри.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69. Адаптивно-розвиваючий підхід до розуміння механізмів стресу і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шляхів подолання стресових ситуацій.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70. Загальне і конкретне планування ділової кар’єри. Кар’єро-програми.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71. Карти посадового просування, рівнобіжні моделі службового зростання і їх можливості для індивідуальної ділової кар’єри.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72. Помилки в управлінні власною кар’єрою і шляхи їх подолання.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73. Етапи стратегічного самоменеджменту в процесі реалізації ділової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кар’єри, їх стисла характеристика.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74. Порядок оцінювання ситуації і прийняття рішень у повсякденному самоменеджменті під час реалізації кар’єрних цілей.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75. Особливості технологічного самоменеджменту в процесі реалізації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кар’єрних цілей.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76. Основи саморозвитку у фаховій діяльності.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77. Засоби розвитку здібностей впливати на людей. Управління персоналом.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78. Основні поняття щодо стратегії і тактики ділового успіху.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79. Техніки впливу на людей, їх сутність, можливості і порядок застосування.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80. Істина, краса і добро як основні людські цінності і системоутворюючі чинники.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81. Соціальні, біологічні і духовні принципи у життєдіяльності людини.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82. Синергетична і пасіонарна моделі розвитку як методологічна основа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моделювання життєдіяльності людини.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83. Характеристика основних закономірностей соціального, біологічного і духовного розвитку людини.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84. Необхідність зміни парадигм розвитку людини і суспільства в сучасних умовах.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85. Внутрішні і зовнішні системоутворюючі чинники, їх вплив на життєдіяльність і діяльність людини.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86. Акмеологічні чинники досягнення вершин розвитку людини.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87. Людина і юрба. Особливості самоуправління в юрбі.</w:t>
      </w:r>
    </w:p>
    <w:p w:rsidR="008D20A8" w:rsidRPr="004E66DE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t>88. Особливості інформаційно-психологічної боротьби й урахування їх</w:t>
      </w:r>
      <w:r w:rsidRPr="004E66DE">
        <w:rPr>
          <w:rFonts w:eastAsia="TimesNewRoman"/>
          <w:sz w:val="28"/>
          <w:szCs w:val="28"/>
          <w:lang w:eastAsia="uk-UA"/>
        </w:rPr>
        <w:t xml:space="preserve"> </w:t>
      </w:r>
      <w:r w:rsidRPr="004E66DE">
        <w:rPr>
          <w:rFonts w:eastAsia="TimesNewRoman"/>
          <w:sz w:val="28"/>
          <w:szCs w:val="28"/>
          <w:lang w:val="uk-UA" w:eastAsia="uk-UA"/>
        </w:rPr>
        <w:t>специфіки у самоменеджменті.</w:t>
      </w:r>
    </w:p>
    <w:p w:rsidR="008D20A8" w:rsidRPr="00703E1D" w:rsidRDefault="008D20A8" w:rsidP="008D20A8">
      <w:pPr>
        <w:ind w:firstLine="567"/>
        <w:jc w:val="both"/>
        <w:rPr>
          <w:rFonts w:eastAsia="TimesNewRoman"/>
          <w:sz w:val="28"/>
          <w:szCs w:val="28"/>
          <w:lang w:val="uk-UA" w:eastAsia="uk-UA"/>
        </w:rPr>
      </w:pPr>
      <w:r w:rsidRPr="004E66DE">
        <w:rPr>
          <w:rFonts w:eastAsia="TimesNewRoman"/>
          <w:sz w:val="28"/>
          <w:szCs w:val="28"/>
          <w:lang w:val="uk-UA" w:eastAsia="uk-UA"/>
        </w:rPr>
        <w:lastRenderedPageBreak/>
        <w:t xml:space="preserve">89. Технології маніпуляції індивідуальною і суспільною свідомістю </w:t>
      </w:r>
      <w:r>
        <w:rPr>
          <w:rFonts w:eastAsia="TimesNewRoman"/>
          <w:sz w:val="28"/>
          <w:szCs w:val="28"/>
          <w:lang w:val="uk-UA" w:eastAsia="uk-UA"/>
        </w:rPr>
        <w:t>в</w:t>
      </w:r>
      <w:r w:rsidRPr="004E66DE">
        <w:rPr>
          <w:rFonts w:eastAsia="TimesNewRoman"/>
          <w:sz w:val="28"/>
          <w:szCs w:val="28"/>
          <w:lang w:val="uk-UA" w:eastAsia="uk-UA"/>
        </w:rPr>
        <w:t xml:space="preserve"> самоменеджмент</w:t>
      </w:r>
      <w:r>
        <w:rPr>
          <w:rFonts w:eastAsia="TimesNewRoman"/>
          <w:sz w:val="28"/>
          <w:szCs w:val="28"/>
          <w:lang w:val="uk-UA" w:eastAsia="uk-UA"/>
        </w:rPr>
        <w:t>і</w:t>
      </w:r>
      <w:r w:rsidRPr="004E66DE">
        <w:rPr>
          <w:rFonts w:eastAsia="TimesNewRoman"/>
          <w:sz w:val="28"/>
          <w:szCs w:val="28"/>
          <w:lang w:val="uk-UA" w:eastAsia="uk-UA"/>
        </w:rPr>
        <w:t>.</w:t>
      </w:r>
    </w:p>
    <w:p w:rsidR="00000000" w:rsidRPr="008D20A8" w:rsidRDefault="00000000">
      <w:pPr>
        <w:rPr>
          <w:lang w:val="uk-UA"/>
        </w:rPr>
      </w:pPr>
    </w:p>
    <w:sectPr w:rsidR="00AE7657" w:rsidRPr="008D2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A8"/>
    <w:rsid w:val="003A3A82"/>
    <w:rsid w:val="008D20A8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B634"/>
  <w15:chartTrackingRefBased/>
  <w15:docId w15:val="{F7562FF3-20C1-5441-81C0-130DF1C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0A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8D20A8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customStyle="1" w:styleId="3">
    <w:name w:val="Îñíîâíîé òåêñò ñ îòñòóïîì 3"/>
    <w:basedOn w:val="a3"/>
    <w:rsid w:val="008D20A8"/>
    <w:pPr>
      <w:widowControl w:val="0"/>
      <w:ind w:firstLine="340"/>
      <w:jc w:val="both"/>
    </w:pPr>
  </w:style>
  <w:style w:type="paragraph" w:styleId="2">
    <w:name w:val="Body Text Indent 2"/>
    <w:basedOn w:val="a"/>
    <w:link w:val="20"/>
    <w:uiPriority w:val="99"/>
    <w:unhideWhenUsed/>
    <w:rsid w:val="008D20A8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D20A8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1264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2026-01-23T10:26:00Z</dcterms:created>
  <dcterms:modified xsi:type="dcterms:W3CDTF">2026-01-23T10:26:00Z</dcterms:modified>
</cp:coreProperties>
</file>