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39" w:rsidRPr="00285A39" w:rsidRDefault="00285A39" w:rsidP="00285A3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285A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ПРАКТИЧНА РОБОТА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№4 </w:t>
      </w:r>
    </w:p>
    <w:p w:rsidR="00285A39" w:rsidRPr="00285A39" w:rsidRDefault="00285A39" w:rsidP="00285A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5A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285A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Методи рекультивації та відновлення екосистем на територіях, забруднених унаслідок військових дій</w:t>
      </w:r>
    </w:p>
    <w:p w:rsidR="00285A39" w:rsidRPr="00285A39" w:rsidRDefault="00285A39" w:rsidP="00285A3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5A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 роботи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r w:rsidRPr="00285A39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Ознайомитися з основними видами негативного впливу вибухонебезпечних речовин та військової техніки на довкілля.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85A3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Вивчити сучасні методи рекультивації ґрунтів, відновлення лісових та водних екосистем після військових дій.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85A3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Проаналізувати міжнародний та український досвід відновлення пошкоджених територій.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85A39">
        <w:rPr>
          <w:rFonts w:ascii="Times New Roman" w:eastAsia="Times New Roman" w:hAnsi="Times New Roman" w:cs="Times New Roman"/>
          <w:sz w:val="28"/>
          <w:szCs w:val="28"/>
          <w:lang w:eastAsia="uk-UA"/>
        </w:rPr>
        <w:t>Сформувати практичні навички розробки планів екологічного відновлення конкретних територій.</w:t>
      </w:r>
    </w:p>
    <w:p w:rsidR="00285A39" w:rsidRPr="00285A39" w:rsidRDefault="00285A39" w:rsidP="00285A3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85A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ТЕОРЕТИЧНІ ВІДОМОСТІ</w:t>
      </w:r>
    </w:p>
    <w:p w:rsidR="00285A39" w:rsidRPr="00285A39" w:rsidRDefault="00285A39" w:rsidP="003F319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85A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2.1. Наслідки воєнних дій для довкілля</w:t>
      </w:r>
    </w:p>
    <w:p w:rsidR="00285A39" w:rsidRPr="00285A39" w:rsidRDefault="00285A39" w:rsidP="003F3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5A3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Військові дії призводять до значних змін у природних комплексах. Основні види негативного впливу:</w:t>
      </w:r>
    </w:p>
    <w:p w:rsidR="00285A39" w:rsidRPr="00285A39" w:rsidRDefault="00285A39" w:rsidP="003F319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5A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Ґрунти:</w:t>
      </w:r>
      <w:r w:rsidRPr="00285A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забруднення важкими металами (</w:t>
      </w:r>
      <w:proofErr w:type="spellStart"/>
      <w:r w:rsidRPr="00285A39">
        <w:rPr>
          <w:rFonts w:ascii="Times New Roman" w:eastAsia="Times New Roman" w:hAnsi="Times New Roman" w:cs="Times New Roman"/>
          <w:sz w:val="28"/>
          <w:szCs w:val="28"/>
          <w:lang w:eastAsia="uk-UA"/>
        </w:rPr>
        <w:t>Pb</w:t>
      </w:r>
      <w:proofErr w:type="spellEnd"/>
      <w:r w:rsidRPr="00285A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285A39">
        <w:rPr>
          <w:rFonts w:ascii="Times New Roman" w:eastAsia="Times New Roman" w:hAnsi="Times New Roman" w:cs="Times New Roman"/>
          <w:sz w:val="28"/>
          <w:szCs w:val="28"/>
          <w:lang w:eastAsia="uk-UA"/>
        </w:rPr>
        <w:t>Cu</w:t>
      </w:r>
      <w:proofErr w:type="spellEnd"/>
      <w:r w:rsidRPr="00285A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285A39">
        <w:rPr>
          <w:rFonts w:ascii="Times New Roman" w:eastAsia="Times New Roman" w:hAnsi="Times New Roman" w:cs="Times New Roman"/>
          <w:sz w:val="28"/>
          <w:szCs w:val="28"/>
          <w:lang w:eastAsia="uk-UA"/>
        </w:rPr>
        <w:t>Zn</w:t>
      </w:r>
      <w:proofErr w:type="spellEnd"/>
      <w:r w:rsidRPr="00285A39">
        <w:rPr>
          <w:rFonts w:ascii="Times New Roman" w:eastAsia="Times New Roman" w:hAnsi="Times New Roman" w:cs="Times New Roman"/>
          <w:sz w:val="28"/>
          <w:szCs w:val="28"/>
          <w:lang w:eastAsia="uk-UA"/>
        </w:rPr>
        <w:t>), паливно-мастильними матеріалами, токсичними залишками вибухівки (тринітротолуол, гексоген, перхлорат амонію), механічне руйнування структури ґрунту гусеничною технікою.</w:t>
      </w:r>
    </w:p>
    <w:p w:rsidR="00285A39" w:rsidRPr="00285A39" w:rsidRDefault="00285A39" w:rsidP="003F319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5A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Вода:</w:t>
      </w:r>
      <w:r w:rsidRPr="00285A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забруднення поверхневих і підземних вод продуктами вибухів, проникнення паливно-мастильних речовин, утворення кислотних стоків.</w:t>
      </w:r>
    </w:p>
    <w:p w:rsidR="00285A39" w:rsidRPr="00285A39" w:rsidRDefault="00285A39" w:rsidP="003F319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5A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Атмосфера:</w:t>
      </w:r>
      <w:r w:rsidRPr="00285A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викиди токсичних газів при вибухах (</w:t>
      </w:r>
      <w:proofErr w:type="spellStart"/>
      <w:r w:rsidRPr="00285A39">
        <w:rPr>
          <w:rFonts w:ascii="Times New Roman" w:eastAsia="Times New Roman" w:hAnsi="Times New Roman" w:cs="Times New Roman"/>
          <w:sz w:val="28"/>
          <w:szCs w:val="28"/>
          <w:lang w:eastAsia="uk-UA"/>
        </w:rPr>
        <w:t>NOx</w:t>
      </w:r>
      <w:proofErr w:type="spellEnd"/>
      <w:r w:rsidRPr="00285A39">
        <w:rPr>
          <w:rFonts w:ascii="Times New Roman" w:eastAsia="Times New Roman" w:hAnsi="Times New Roman" w:cs="Times New Roman"/>
          <w:sz w:val="28"/>
          <w:szCs w:val="28"/>
          <w:lang w:eastAsia="uk-UA"/>
        </w:rPr>
        <w:t>, CO, CO₂, діоксини).</w:t>
      </w:r>
    </w:p>
    <w:p w:rsidR="00285A39" w:rsidRPr="00285A39" w:rsidRDefault="00285A39" w:rsidP="003F319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5A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Лісові екосистеми:</w:t>
      </w:r>
      <w:r w:rsidRPr="00285A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масове всихання внаслідок пожеж, механічне пошкодження кореневих систем, загибель біоти від вибухів.</w:t>
      </w:r>
    </w:p>
    <w:p w:rsidR="00285A39" w:rsidRDefault="00285A39" w:rsidP="003F319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85A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Біорізноманіття</w:t>
      </w:r>
      <w:proofErr w:type="spellEnd"/>
      <w:r w:rsidRPr="00285A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285A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втрата місць існування, загибель рідкісних видів, фрагментація екосистем.</w:t>
      </w:r>
    </w:p>
    <w:p w:rsidR="003F319C" w:rsidRPr="00285A39" w:rsidRDefault="003F319C" w:rsidP="003F319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85A39" w:rsidRPr="00285A39" w:rsidRDefault="00285A39" w:rsidP="003F319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85A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2.2. Методи рекультивації та відновлення</w:t>
      </w:r>
    </w:p>
    <w:p w:rsidR="00285A39" w:rsidRPr="00285A39" w:rsidRDefault="00285A39" w:rsidP="003F3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5A3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Відновлення екосистем після військових дій включає комплекс заходів:</w:t>
      </w:r>
    </w:p>
    <w:p w:rsidR="00285A39" w:rsidRPr="003F319C" w:rsidRDefault="00285A39" w:rsidP="003F319C">
      <w:pPr>
        <w:pStyle w:val="2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3F319C">
        <w:rPr>
          <w:i/>
          <w:sz w:val="28"/>
          <w:szCs w:val="28"/>
        </w:rPr>
        <w:t xml:space="preserve">1. </w:t>
      </w:r>
      <w:r w:rsidRPr="003F319C">
        <w:rPr>
          <w:rStyle w:val="a4"/>
          <w:b/>
          <w:bCs/>
          <w:i/>
          <w:sz w:val="28"/>
          <w:szCs w:val="28"/>
        </w:rPr>
        <w:t>Технічна рекультивація</w:t>
      </w:r>
    </w:p>
    <w:p w:rsidR="00285A39" w:rsidRDefault="00285A39" w:rsidP="003F319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5A39">
        <w:rPr>
          <w:sz w:val="28"/>
          <w:szCs w:val="28"/>
        </w:rPr>
        <w:t>Мета – підготовка території до подальшого біологічного відновлення.</w:t>
      </w:r>
    </w:p>
    <w:p w:rsidR="00285A39" w:rsidRPr="00285A39" w:rsidRDefault="00285A39" w:rsidP="003F319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5A39">
        <w:rPr>
          <w:sz w:val="28"/>
          <w:szCs w:val="28"/>
        </w:rPr>
        <w:t>Методи:</w:t>
      </w:r>
    </w:p>
    <w:p w:rsidR="00285A39" w:rsidRPr="00285A39" w:rsidRDefault="00285A39" w:rsidP="003F319C">
      <w:pPr>
        <w:pStyle w:val="a3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5A39">
        <w:rPr>
          <w:rStyle w:val="a4"/>
          <w:sz w:val="28"/>
          <w:szCs w:val="28"/>
        </w:rPr>
        <w:t>Зняття та заміна забрудненого ґрунтового шару</w:t>
      </w:r>
      <w:r w:rsidRPr="00285A39">
        <w:rPr>
          <w:sz w:val="28"/>
          <w:szCs w:val="28"/>
        </w:rPr>
        <w:t xml:space="preserve"> – у випадках високої концентрації вибухових речовин чи нафтопродуктів.</w:t>
      </w:r>
    </w:p>
    <w:p w:rsidR="00285A39" w:rsidRPr="00285A39" w:rsidRDefault="00285A39" w:rsidP="003F319C">
      <w:pPr>
        <w:pStyle w:val="a3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5A39">
        <w:rPr>
          <w:rStyle w:val="a4"/>
          <w:sz w:val="28"/>
          <w:szCs w:val="28"/>
        </w:rPr>
        <w:t>Планування рельєфу</w:t>
      </w:r>
      <w:r w:rsidRPr="00285A39">
        <w:rPr>
          <w:sz w:val="28"/>
          <w:szCs w:val="28"/>
        </w:rPr>
        <w:t xml:space="preserve"> – засипка воронок від вибухів, вирівнювання території, укріплення схилів.</w:t>
      </w:r>
    </w:p>
    <w:p w:rsidR="00285A39" w:rsidRPr="00285A39" w:rsidRDefault="00285A39" w:rsidP="003F319C">
      <w:pPr>
        <w:pStyle w:val="a3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5A39">
        <w:rPr>
          <w:rStyle w:val="a4"/>
          <w:sz w:val="28"/>
          <w:szCs w:val="28"/>
        </w:rPr>
        <w:t>Протиерозійні заходи</w:t>
      </w:r>
      <w:r w:rsidRPr="00285A39">
        <w:rPr>
          <w:sz w:val="28"/>
          <w:szCs w:val="28"/>
        </w:rPr>
        <w:t xml:space="preserve"> – терасування, гідротехнічні споруди для запобігання зсувам і розмиву ґрунтів.</w:t>
      </w:r>
    </w:p>
    <w:p w:rsidR="00285A39" w:rsidRPr="00285A39" w:rsidRDefault="00285A39" w:rsidP="003F319C">
      <w:pPr>
        <w:pStyle w:val="a3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5A39">
        <w:rPr>
          <w:rStyle w:val="a4"/>
          <w:sz w:val="28"/>
          <w:szCs w:val="28"/>
        </w:rPr>
        <w:t xml:space="preserve">Знезараження та </w:t>
      </w:r>
      <w:proofErr w:type="spellStart"/>
      <w:r w:rsidRPr="00285A39">
        <w:rPr>
          <w:rStyle w:val="a4"/>
          <w:sz w:val="28"/>
          <w:szCs w:val="28"/>
        </w:rPr>
        <w:t>демінералізація</w:t>
      </w:r>
      <w:proofErr w:type="spellEnd"/>
      <w:r w:rsidRPr="00285A39">
        <w:rPr>
          <w:sz w:val="28"/>
          <w:szCs w:val="28"/>
        </w:rPr>
        <w:t xml:space="preserve"> – видалення боєприпасів, нейтралізація токсичних речовин (вапнування кислотних ґрунтів).</w:t>
      </w:r>
    </w:p>
    <w:p w:rsidR="00285A39" w:rsidRPr="00285A39" w:rsidRDefault="00285A39" w:rsidP="003F319C">
      <w:pPr>
        <w:pStyle w:val="a3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5A39">
        <w:rPr>
          <w:rStyle w:val="a4"/>
          <w:sz w:val="28"/>
          <w:szCs w:val="28"/>
        </w:rPr>
        <w:lastRenderedPageBreak/>
        <w:t>Реконструкція інфраструктури</w:t>
      </w:r>
      <w:r w:rsidRPr="00285A39">
        <w:rPr>
          <w:sz w:val="28"/>
          <w:szCs w:val="28"/>
        </w:rPr>
        <w:t xml:space="preserve"> – відновлення дренажних систем, систем водопостачання та меліорації.</w:t>
      </w:r>
    </w:p>
    <w:p w:rsidR="00285A39" w:rsidRPr="003F319C" w:rsidRDefault="00285A39" w:rsidP="003F319C">
      <w:pPr>
        <w:pStyle w:val="2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3F319C">
        <w:rPr>
          <w:i/>
          <w:sz w:val="28"/>
          <w:szCs w:val="28"/>
        </w:rPr>
        <w:t xml:space="preserve">2. </w:t>
      </w:r>
      <w:r w:rsidRPr="003F319C">
        <w:rPr>
          <w:rStyle w:val="a4"/>
          <w:b/>
          <w:bCs/>
          <w:i/>
          <w:sz w:val="28"/>
          <w:szCs w:val="28"/>
        </w:rPr>
        <w:t>Біологічна рекультивація</w:t>
      </w:r>
    </w:p>
    <w:p w:rsidR="00285A39" w:rsidRDefault="00285A39" w:rsidP="003F319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5A39">
        <w:rPr>
          <w:sz w:val="28"/>
          <w:szCs w:val="28"/>
        </w:rPr>
        <w:t>Використання живих організмів (рослин, мікроорганізмів) для очищення та відновлення.</w:t>
      </w:r>
    </w:p>
    <w:p w:rsidR="00285A39" w:rsidRPr="00285A39" w:rsidRDefault="00285A39" w:rsidP="003F319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5A39">
        <w:rPr>
          <w:sz w:val="28"/>
          <w:szCs w:val="28"/>
        </w:rPr>
        <w:t>Методи:</w:t>
      </w:r>
    </w:p>
    <w:p w:rsidR="00285A39" w:rsidRPr="00285A39" w:rsidRDefault="00285A39" w:rsidP="003F319C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285A39">
        <w:rPr>
          <w:rStyle w:val="a4"/>
          <w:sz w:val="28"/>
          <w:szCs w:val="28"/>
        </w:rPr>
        <w:t>Фіторемедіація</w:t>
      </w:r>
      <w:proofErr w:type="spellEnd"/>
      <w:r w:rsidRPr="00285A39">
        <w:rPr>
          <w:sz w:val="28"/>
          <w:szCs w:val="28"/>
        </w:rPr>
        <w:t xml:space="preserve"> – використання рослин для поглинання, трансформації або фіксації токсикантів:</w:t>
      </w:r>
    </w:p>
    <w:p w:rsidR="00285A39" w:rsidRPr="00285A39" w:rsidRDefault="00285A39" w:rsidP="003F319C">
      <w:pPr>
        <w:pStyle w:val="a3"/>
        <w:numPr>
          <w:ilvl w:val="1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285A39">
        <w:rPr>
          <w:rStyle w:val="a5"/>
          <w:sz w:val="28"/>
          <w:szCs w:val="28"/>
        </w:rPr>
        <w:t>Фітоекстракція</w:t>
      </w:r>
      <w:proofErr w:type="spellEnd"/>
      <w:r w:rsidRPr="00285A39">
        <w:rPr>
          <w:sz w:val="28"/>
          <w:szCs w:val="28"/>
        </w:rPr>
        <w:t xml:space="preserve"> (соняшник, гірчиця, ріпак поглинають </w:t>
      </w:r>
      <w:proofErr w:type="spellStart"/>
      <w:r w:rsidRPr="00285A39">
        <w:rPr>
          <w:sz w:val="28"/>
          <w:szCs w:val="28"/>
        </w:rPr>
        <w:t>Pb</w:t>
      </w:r>
      <w:proofErr w:type="spellEnd"/>
      <w:r w:rsidRPr="00285A39">
        <w:rPr>
          <w:sz w:val="28"/>
          <w:szCs w:val="28"/>
        </w:rPr>
        <w:t xml:space="preserve">, </w:t>
      </w:r>
      <w:proofErr w:type="spellStart"/>
      <w:r w:rsidRPr="00285A39">
        <w:rPr>
          <w:sz w:val="28"/>
          <w:szCs w:val="28"/>
        </w:rPr>
        <w:t>Zn</w:t>
      </w:r>
      <w:proofErr w:type="spellEnd"/>
      <w:r w:rsidRPr="00285A39">
        <w:rPr>
          <w:sz w:val="28"/>
          <w:szCs w:val="28"/>
        </w:rPr>
        <w:t xml:space="preserve">, </w:t>
      </w:r>
      <w:proofErr w:type="spellStart"/>
      <w:r w:rsidRPr="00285A39">
        <w:rPr>
          <w:sz w:val="28"/>
          <w:szCs w:val="28"/>
        </w:rPr>
        <w:t>Cd</w:t>
      </w:r>
      <w:proofErr w:type="spellEnd"/>
      <w:r w:rsidRPr="00285A39">
        <w:rPr>
          <w:sz w:val="28"/>
          <w:szCs w:val="28"/>
        </w:rPr>
        <w:t>).</w:t>
      </w:r>
    </w:p>
    <w:p w:rsidR="00285A39" w:rsidRPr="00285A39" w:rsidRDefault="00285A39" w:rsidP="003F319C">
      <w:pPr>
        <w:pStyle w:val="a3"/>
        <w:numPr>
          <w:ilvl w:val="1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285A39">
        <w:rPr>
          <w:rStyle w:val="a5"/>
          <w:sz w:val="28"/>
          <w:szCs w:val="28"/>
        </w:rPr>
        <w:t>Фітостабілізація</w:t>
      </w:r>
      <w:proofErr w:type="spellEnd"/>
      <w:r w:rsidRPr="00285A39">
        <w:rPr>
          <w:sz w:val="28"/>
          <w:szCs w:val="28"/>
        </w:rPr>
        <w:t xml:space="preserve"> (верба, тополя закріплюють забруднювачі у ґрунті).</w:t>
      </w:r>
    </w:p>
    <w:p w:rsidR="00285A39" w:rsidRPr="00285A39" w:rsidRDefault="00285A39" w:rsidP="003F319C">
      <w:pPr>
        <w:pStyle w:val="a3"/>
        <w:numPr>
          <w:ilvl w:val="1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285A39">
        <w:rPr>
          <w:rStyle w:val="a5"/>
          <w:sz w:val="28"/>
          <w:szCs w:val="28"/>
        </w:rPr>
        <w:t>Фіторизоремедіація</w:t>
      </w:r>
      <w:proofErr w:type="spellEnd"/>
      <w:r w:rsidRPr="00285A39">
        <w:rPr>
          <w:sz w:val="28"/>
          <w:szCs w:val="28"/>
        </w:rPr>
        <w:t xml:space="preserve"> – стимуляція ґрунтових мікроорганізмів кореневими виділеннями.</w:t>
      </w:r>
    </w:p>
    <w:p w:rsidR="00285A39" w:rsidRPr="00285A39" w:rsidRDefault="00285A39" w:rsidP="003F319C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5A39">
        <w:rPr>
          <w:rStyle w:val="a4"/>
          <w:sz w:val="28"/>
          <w:szCs w:val="28"/>
        </w:rPr>
        <w:t>Мікробіологічні методи</w:t>
      </w:r>
      <w:r w:rsidRPr="00285A39">
        <w:rPr>
          <w:sz w:val="28"/>
          <w:szCs w:val="28"/>
        </w:rPr>
        <w:t xml:space="preserve"> – застосування бактерій та грибів, що розкладають вибухові речовини й нафтові вуглеводні (</w:t>
      </w:r>
      <w:proofErr w:type="spellStart"/>
      <w:r w:rsidRPr="00285A39">
        <w:rPr>
          <w:rStyle w:val="a5"/>
          <w:sz w:val="28"/>
          <w:szCs w:val="28"/>
        </w:rPr>
        <w:t>Pseudomonas</w:t>
      </w:r>
      <w:proofErr w:type="spellEnd"/>
      <w:r w:rsidRPr="00285A39">
        <w:rPr>
          <w:sz w:val="28"/>
          <w:szCs w:val="28"/>
        </w:rPr>
        <w:t xml:space="preserve">, </w:t>
      </w:r>
      <w:proofErr w:type="spellStart"/>
      <w:r w:rsidRPr="00285A39">
        <w:rPr>
          <w:rStyle w:val="a5"/>
          <w:sz w:val="28"/>
          <w:szCs w:val="28"/>
        </w:rPr>
        <w:t>Bacillus</w:t>
      </w:r>
      <w:proofErr w:type="spellEnd"/>
      <w:r w:rsidRPr="00285A39">
        <w:rPr>
          <w:sz w:val="28"/>
          <w:szCs w:val="28"/>
        </w:rPr>
        <w:t xml:space="preserve">, </w:t>
      </w:r>
      <w:proofErr w:type="spellStart"/>
      <w:r w:rsidRPr="00285A39">
        <w:rPr>
          <w:rStyle w:val="a5"/>
          <w:sz w:val="28"/>
          <w:szCs w:val="28"/>
        </w:rPr>
        <w:t>Phanerochaete</w:t>
      </w:r>
      <w:proofErr w:type="spellEnd"/>
      <w:r w:rsidRPr="00285A39">
        <w:rPr>
          <w:rStyle w:val="a5"/>
          <w:sz w:val="28"/>
          <w:szCs w:val="28"/>
        </w:rPr>
        <w:t xml:space="preserve"> </w:t>
      </w:r>
      <w:proofErr w:type="spellStart"/>
      <w:r w:rsidRPr="00285A39">
        <w:rPr>
          <w:rStyle w:val="a5"/>
          <w:sz w:val="28"/>
          <w:szCs w:val="28"/>
        </w:rPr>
        <w:t>chrysosporium</w:t>
      </w:r>
      <w:proofErr w:type="spellEnd"/>
      <w:r w:rsidRPr="00285A39">
        <w:rPr>
          <w:sz w:val="28"/>
          <w:szCs w:val="28"/>
        </w:rPr>
        <w:t>).</w:t>
      </w:r>
    </w:p>
    <w:p w:rsidR="00285A39" w:rsidRPr="00285A39" w:rsidRDefault="00285A39" w:rsidP="003F319C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5A39">
        <w:rPr>
          <w:rStyle w:val="a4"/>
          <w:sz w:val="28"/>
          <w:szCs w:val="28"/>
        </w:rPr>
        <w:t>Використання біопрепаратів</w:t>
      </w:r>
      <w:r w:rsidRPr="00285A39">
        <w:rPr>
          <w:sz w:val="28"/>
          <w:szCs w:val="28"/>
        </w:rPr>
        <w:t xml:space="preserve"> – внесення консорціумів мікроорганізмів для очищення від нафти, пестицидів, вибухових речовин.</w:t>
      </w:r>
    </w:p>
    <w:p w:rsidR="00285A39" w:rsidRPr="00285A39" w:rsidRDefault="00285A39" w:rsidP="003F319C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5A39">
        <w:rPr>
          <w:rStyle w:val="a4"/>
          <w:sz w:val="28"/>
          <w:szCs w:val="28"/>
        </w:rPr>
        <w:t>Відновлення ґрунтової родючості</w:t>
      </w:r>
      <w:r w:rsidRPr="00285A39">
        <w:rPr>
          <w:sz w:val="28"/>
          <w:szCs w:val="28"/>
        </w:rPr>
        <w:t xml:space="preserve"> – внесення органічних добрив, сидерація (люпин, гірчиця), компостування.</w:t>
      </w:r>
    </w:p>
    <w:p w:rsidR="00285A39" w:rsidRPr="00285A39" w:rsidRDefault="00285A39" w:rsidP="003F319C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5A39">
        <w:rPr>
          <w:rStyle w:val="a4"/>
          <w:sz w:val="28"/>
          <w:szCs w:val="28"/>
        </w:rPr>
        <w:t>Лісовідновлення</w:t>
      </w:r>
      <w:r w:rsidRPr="00285A39">
        <w:rPr>
          <w:sz w:val="28"/>
          <w:szCs w:val="28"/>
        </w:rPr>
        <w:t xml:space="preserve"> – природне (залишені насінники, підріст) та штучне (садіння місцевих видів: дуб, сосна, ялина).</w:t>
      </w:r>
    </w:p>
    <w:p w:rsidR="00285A39" w:rsidRPr="003F319C" w:rsidRDefault="00285A39" w:rsidP="003F319C">
      <w:pPr>
        <w:pStyle w:val="2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3F319C">
        <w:rPr>
          <w:i/>
          <w:sz w:val="28"/>
          <w:szCs w:val="28"/>
        </w:rPr>
        <w:t xml:space="preserve">3. </w:t>
      </w:r>
      <w:r w:rsidRPr="003F319C">
        <w:rPr>
          <w:rStyle w:val="a4"/>
          <w:b/>
          <w:bCs/>
          <w:i/>
          <w:sz w:val="28"/>
          <w:szCs w:val="28"/>
        </w:rPr>
        <w:t>Методи відновлення водних екосистем</w:t>
      </w:r>
    </w:p>
    <w:p w:rsidR="00285A39" w:rsidRPr="00285A39" w:rsidRDefault="00285A39" w:rsidP="003F319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5A39">
        <w:rPr>
          <w:sz w:val="28"/>
          <w:szCs w:val="28"/>
        </w:rPr>
        <w:t>Спрямовані на очищення та регенерацію річок, озер, водойм.</w:t>
      </w:r>
    </w:p>
    <w:p w:rsidR="00285A39" w:rsidRPr="00285A39" w:rsidRDefault="00285A39" w:rsidP="003F319C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5A39">
        <w:rPr>
          <w:rStyle w:val="a4"/>
          <w:sz w:val="28"/>
          <w:szCs w:val="28"/>
        </w:rPr>
        <w:t>Механічне очищення</w:t>
      </w:r>
      <w:r w:rsidRPr="00285A39">
        <w:rPr>
          <w:sz w:val="28"/>
          <w:szCs w:val="28"/>
        </w:rPr>
        <w:t xml:space="preserve"> – збір нафтопродуктів, сміття, залишків військової техніки.</w:t>
      </w:r>
    </w:p>
    <w:p w:rsidR="00285A39" w:rsidRPr="00285A39" w:rsidRDefault="00285A39" w:rsidP="003F319C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5A39">
        <w:rPr>
          <w:rStyle w:val="a4"/>
          <w:sz w:val="28"/>
          <w:szCs w:val="28"/>
        </w:rPr>
        <w:t>Сорбенти</w:t>
      </w:r>
      <w:r w:rsidRPr="00285A39">
        <w:rPr>
          <w:sz w:val="28"/>
          <w:szCs w:val="28"/>
        </w:rPr>
        <w:t xml:space="preserve"> – застосування природних (торф, </w:t>
      </w:r>
      <w:proofErr w:type="spellStart"/>
      <w:r w:rsidRPr="00285A39">
        <w:rPr>
          <w:sz w:val="28"/>
          <w:szCs w:val="28"/>
        </w:rPr>
        <w:t>сапоніти</w:t>
      </w:r>
      <w:proofErr w:type="spellEnd"/>
      <w:r w:rsidRPr="00285A39">
        <w:rPr>
          <w:sz w:val="28"/>
          <w:szCs w:val="28"/>
        </w:rPr>
        <w:t>, глина, активоване вугілля) для зв’язування токсикантів.</w:t>
      </w:r>
    </w:p>
    <w:p w:rsidR="00285A39" w:rsidRPr="00285A39" w:rsidRDefault="00285A39" w:rsidP="003F319C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285A39">
        <w:rPr>
          <w:rStyle w:val="a4"/>
          <w:sz w:val="28"/>
          <w:szCs w:val="28"/>
        </w:rPr>
        <w:t>Біоплато</w:t>
      </w:r>
      <w:proofErr w:type="spellEnd"/>
      <w:r w:rsidRPr="00285A39">
        <w:rPr>
          <w:rStyle w:val="a4"/>
          <w:sz w:val="28"/>
          <w:szCs w:val="28"/>
        </w:rPr>
        <w:t xml:space="preserve"> (</w:t>
      </w:r>
      <w:proofErr w:type="spellStart"/>
      <w:r w:rsidRPr="00285A39">
        <w:rPr>
          <w:rStyle w:val="a4"/>
          <w:sz w:val="28"/>
          <w:szCs w:val="28"/>
        </w:rPr>
        <w:t>біофільтрація</w:t>
      </w:r>
      <w:proofErr w:type="spellEnd"/>
      <w:r w:rsidRPr="00285A39">
        <w:rPr>
          <w:rStyle w:val="a4"/>
          <w:sz w:val="28"/>
          <w:szCs w:val="28"/>
        </w:rPr>
        <w:t>)</w:t>
      </w:r>
      <w:r w:rsidRPr="00285A39">
        <w:rPr>
          <w:sz w:val="28"/>
          <w:szCs w:val="28"/>
        </w:rPr>
        <w:t xml:space="preserve"> – створення штучних заболочених систем із очеретом, рогозом, вербою для самоочищення вод.</w:t>
      </w:r>
    </w:p>
    <w:p w:rsidR="00285A39" w:rsidRPr="00285A39" w:rsidRDefault="00285A39" w:rsidP="003F319C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5A39">
        <w:rPr>
          <w:rStyle w:val="a4"/>
          <w:sz w:val="28"/>
          <w:szCs w:val="28"/>
        </w:rPr>
        <w:t>Аерація</w:t>
      </w:r>
      <w:r w:rsidRPr="00285A39">
        <w:rPr>
          <w:sz w:val="28"/>
          <w:szCs w:val="28"/>
        </w:rPr>
        <w:t xml:space="preserve"> – насичення водойм киснем для відновлення біоти після забруднення органікою чи паливом.</w:t>
      </w:r>
    </w:p>
    <w:p w:rsidR="00285A39" w:rsidRPr="00285A39" w:rsidRDefault="00285A39" w:rsidP="003F319C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5A39">
        <w:rPr>
          <w:rStyle w:val="a4"/>
          <w:sz w:val="28"/>
          <w:szCs w:val="28"/>
        </w:rPr>
        <w:t>Зариблення та відновлення іхтіофауни</w:t>
      </w:r>
      <w:r w:rsidRPr="00285A39">
        <w:rPr>
          <w:sz w:val="28"/>
          <w:szCs w:val="28"/>
        </w:rPr>
        <w:t xml:space="preserve"> – запуск стійких видів риб, здатних відновлювати біоценоз.</w:t>
      </w:r>
    </w:p>
    <w:p w:rsidR="00285A39" w:rsidRPr="00285A39" w:rsidRDefault="00285A39" w:rsidP="003F319C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5A39">
        <w:rPr>
          <w:rStyle w:val="a4"/>
          <w:sz w:val="28"/>
          <w:szCs w:val="28"/>
        </w:rPr>
        <w:t>Ренатуралізація прибережних зон</w:t>
      </w:r>
      <w:r w:rsidRPr="00285A39">
        <w:rPr>
          <w:sz w:val="28"/>
          <w:szCs w:val="28"/>
        </w:rPr>
        <w:t xml:space="preserve"> – посадка вологолюбних рослин для стабілізації берегів і зменшення </w:t>
      </w:r>
      <w:proofErr w:type="spellStart"/>
      <w:r w:rsidRPr="00285A39">
        <w:rPr>
          <w:sz w:val="28"/>
          <w:szCs w:val="28"/>
        </w:rPr>
        <w:t>евтрофікації</w:t>
      </w:r>
      <w:proofErr w:type="spellEnd"/>
      <w:r w:rsidRPr="00285A39">
        <w:rPr>
          <w:sz w:val="28"/>
          <w:szCs w:val="28"/>
        </w:rPr>
        <w:t>.</w:t>
      </w:r>
    </w:p>
    <w:p w:rsidR="00285A39" w:rsidRPr="003F319C" w:rsidRDefault="00285A39" w:rsidP="003F319C">
      <w:pPr>
        <w:pStyle w:val="2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3F319C">
        <w:rPr>
          <w:i/>
          <w:sz w:val="28"/>
          <w:szCs w:val="28"/>
        </w:rPr>
        <w:t xml:space="preserve">4. </w:t>
      </w:r>
      <w:r w:rsidRPr="003F319C">
        <w:rPr>
          <w:rStyle w:val="a4"/>
          <w:b/>
          <w:bCs/>
          <w:i/>
          <w:sz w:val="28"/>
          <w:szCs w:val="28"/>
        </w:rPr>
        <w:t>Спеціалізовані методи (для територій війни)</w:t>
      </w:r>
    </w:p>
    <w:p w:rsidR="00285A39" w:rsidRPr="00285A39" w:rsidRDefault="00285A39" w:rsidP="003F319C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5A39">
        <w:rPr>
          <w:rStyle w:val="a4"/>
          <w:sz w:val="28"/>
          <w:szCs w:val="28"/>
        </w:rPr>
        <w:t>Демінування та очищення територій</w:t>
      </w:r>
      <w:r w:rsidRPr="00285A39">
        <w:rPr>
          <w:sz w:val="28"/>
          <w:szCs w:val="28"/>
        </w:rPr>
        <w:t xml:space="preserve"> – використання </w:t>
      </w:r>
      <w:proofErr w:type="spellStart"/>
      <w:r w:rsidRPr="00285A39">
        <w:rPr>
          <w:sz w:val="28"/>
          <w:szCs w:val="28"/>
        </w:rPr>
        <w:t>роботизованих</w:t>
      </w:r>
      <w:proofErr w:type="spellEnd"/>
      <w:r w:rsidRPr="00285A39">
        <w:rPr>
          <w:sz w:val="28"/>
          <w:szCs w:val="28"/>
        </w:rPr>
        <w:t xml:space="preserve"> систем, </w:t>
      </w:r>
      <w:proofErr w:type="spellStart"/>
      <w:r w:rsidRPr="00285A39">
        <w:rPr>
          <w:sz w:val="28"/>
          <w:szCs w:val="28"/>
        </w:rPr>
        <w:t>біомоніторингу</w:t>
      </w:r>
      <w:proofErr w:type="spellEnd"/>
      <w:r w:rsidRPr="00285A39">
        <w:rPr>
          <w:sz w:val="28"/>
          <w:szCs w:val="28"/>
        </w:rPr>
        <w:t xml:space="preserve"> (щурі, собаки, навіть бджоли).</w:t>
      </w:r>
    </w:p>
    <w:p w:rsidR="00285A39" w:rsidRPr="00285A39" w:rsidRDefault="00285A39" w:rsidP="003F319C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285A39">
        <w:rPr>
          <w:rStyle w:val="a4"/>
          <w:sz w:val="28"/>
          <w:szCs w:val="28"/>
        </w:rPr>
        <w:t>Фітосанація</w:t>
      </w:r>
      <w:proofErr w:type="spellEnd"/>
      <w:r w:rsidRPr="00285A39">
        <w:rPr>
          <w:rStyle w:val="a4"/>
          <w:sz w:val="28"/>
          <w:szCs w:val="28"/>
        </w:rPr>
        <w:t xml:space="preserve"> від вибухових речовин</w:t>
      </w:r>
      <w:r w:rsidRPr="00285A39">
        <w:rPr>
          <w:sz w:val="28"/>
          <w:szCs w:val="28"/>
        </w:rPr>
        <w:t xml:space="preserve"> – висадка рослин, що толерантні до токсикантів і здатні накопичувати їх.</w:t>
      </w:r>
    </w:p>
    <w:p w:rsidR="00285A39" w:rsidRPr="00285A39" w:rsidRDefault="00285A39" w:rsidP="003F319C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285A39">
        <w:rPr>
          <w:rStyle w:val="a4"/>
          <w:sz w:val="28"/>
          <w:szCs w:val="28"/>
        </w:rPr>
        <w:t>Біоінженерні</w:t>
      </w:r>
      <w:proofErr w:type="spellEnd"/>
      <w:r w:rsidRPr="00285A39">
        <w:rPr>
          <w:rStyle w:val="a4"/>
          <w:sz w:val="28"/>
          <w:szCs w:val="28"/>
        </w:rPr>
        <w:t xml:space="preserve"> конструкції</w:t>
      </w:r>
      <w:r w:rsidRPr="00285A39">
        <w:rPr>
          <w:sz w:val="28"/>
          <w:szCs w:val="28"/>
        </w:rPr>
        <w:t xml:space="preserve"> – застосування </w:t>
      </w:r>
      <w:proofErr w:type="spellStart"/>
      <w:r w:rsidRPr="00285A39">
        <w:rPr>
          <w:sz w:val="28"/>
          <w:szCs w:val="28"/>
        </w:rPr>
        <w:t>геоматів</w:t>
      </w:r>
      <w:proofErr w:type="spellEnd"/>
      <w:r w:rsidRPr="00285A39">
        <w:rPr>
          <w:sz w:val="28"/>
          <w:szCs w:val="28"/>
        </w:rPr>
        <w:t xml:space="preserve">, </w:t>
      </w:r>
      <w:proofErr w:type="spellStart"/>
      <w:r w:rsidRPr="00285A39">
        <w:rPr>
          <w:sz w:val="28"/>
          <w:szCs w:val="28"/>
        </w:rPr>
        <w:t>біосіток</w:t>
      </w:r>
      <w:proofErr w:type="spellEnd"/>
      <w:r w:rsidRPr="00285A39">
        <w:rPr>
          <w:sz w:val="28"/>
          <w:szCs w:val="28"/>
        </w:rPr>
        <w:t>, укріплення схилів живими насадженнями.</w:t>
      </w:r>
    </w:p>
    <w:p w:rsidR="00285A39" w:rsidRPr="00285A39" w:rsidRDefault="00285A39" w:rsidP="003F319C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5A39">
        <w:rPr>
          <w:rStyle w:val="a4"/>
          <w:sz w:val="28"/>
          <w:szCs w:val="28"/>
        </w:rPr>
        <w:lastRenderedPageBreak/>
        <w:t>Рекультивація військових полігонів</w:t>
      </w:r>
      <w:r w:rsidRPr="00285A39">
        <w:rPr>
          <w:sz w:val="28"/>
          <w:szCs w:val="28"/>
        </w:rPr>
        <w:t xml:space="preserve"> – перетворення деградованих територій у лісопаркові зони чи об’єкти для екологічного туризму.</w:t>
      </w:r>
    </w:p>
    <w:p w:rsidR="00285A39" w:rsidRPr="00285A39" w:rsidRDefault="00285A39" w:rsidP="003F319C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85A39">
        <w:rPr>
          <w:rStyle w:val="a4"/>
          <w:sz w:val="28"/>
          <w:szCs w:val="28"/>
        </w:rPr>
        <w:t xml:space="preserve">Відновлення </w:t>
      </w:r>
      <w:proofErr w:type="spellStart"/>
      <w:r w:rsidRPr="00285A39">
        <w:rPr>
          <w:rStyle w:val="a4"/>
          <w:sz w:val="28"/>
          <w:szCs w:val="28"/>
        </w:rPr>
        <w:t>біорізноманіття</w:t>
      </w:r>
      <w:proofErr w:type="spellEnd"/>
      <w:r w:rsidRPr="00285A39">
        <w:rPr>
          <w:sz w:val="28"/>
          <w:szCs w:val="28"/>
        </w:rPr>
        <w:t xml:space="preserve"> – програми </w:t>
      </w:r>
      <w:proofErr w:type="spellStart"/>
      <w:r w:rsidRPr="00285A39">
        <w:rPr>
          <w:sz w:val="28"/>
          <w:szCs w:val="28"/>
        </w:rPr>
        <w:t>реінтродукції</w:t>
      </w:r>
      <w:proofErr w:type="spellEnd"/>
      <w:r w:rsidRPr="00285A39">
        <w:rPr>
          <w:sz w:val="28"/>
          <w:szCs w:val="28"/>
        </w:rPr>
        <w:t xml:space="preserve"> зниклих у регіоні видів (наприклад, зубрів, рисей в Україні, птахів у Кувейті).</w:t>
      </w:r>
    </w:p>
    <w:p w:rsidR="00285A39" w:rsidRPr="00285A39" w:rsidRDefault="00285A39" w:rsidP="003F3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3F319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5. Міжнародний досвід:</w:t>
      </w:r>
    </w:p>
    <w:p w:rsidR="00285A39" w:rsidRPr="00285A39" w:rsidRDefault="00285A39" w:rsidP="003F319C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5A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Кувейт (1991):</w:t>
      </w:r>
      <w:r w:rsidRPr="00285A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після підпалів нафтових свердловин проведено масштабну рекультивацію піщаних ґрунтів із застосуванням </w:t>
      </w:r>
      <w:proofErr w:type="spellStart"/>
      <w:r w:rsidRPr="00285A39">
        <w:rPr>
          <w:rFonts w:ascii="Times New Roman" w:eastAsia="Times New Roman" w:hAnsi="Times New Roman" w:cs="Times New Roman"/>
          <w:sz w:val="28"/>
          <w:szCs w:val="28"/>
          <w:lang w:eastAsia="uk-UA"/>
        </w:rPr>
        <w:t>біоремедіації</w:t>
      </w:r>
      <w:proofErr w:type="spellEnd"/>
      <w:r w:rsidRPr="00285A3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85A39" w:rsidRPr="00285A39" w:rsidRDefault="00285A39" w:rsidP="003F319C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5A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Балкани (1999):</w:t>
      </w:r>
      <w:r w:rsidRPr="00285A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очищення територій від залишків касетних бомб, застосування мікробних культур для деструкції вибухових речовин.</w:t>
      </w:r>
    </w:p>
    <w:p w:rsidR="00285A39" w:rsidRPr="00285A39" w:rsidRDefault="00285A39" w:rsidP="003F319C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5A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Україна (з 2022):</w:t>
      </w:r>
      <w:r w:rsidRPr="00285A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лісівники та екологи здійснюють моніторинг пошкоджених територій, експериментально застосовують </w:t>
      </w:r>
      <w:proofErr w:type="spellStart"/>
      <w:r w:rsidRPr="00285A39">
        <w:rPr>
          <w:rFonts w:ascii="Times New Roman" w:eastAsia="Times New Roman" w:hAnsi="Times New Roman" w:cs="Times New Roman"/>
          <w:sz w:val="28"/>
          <w:szCs w:val="28"/>
          <w:lang w:eastAsia="uk-UA"/>
        </w:rPr>
        <w:t>фіторемедіаційні</w:t>
      </w:r>
      <w:proofErr w:type="spellEnd"/>
      <w:r w:rsidRPr="00285A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меліоративні заходи.</w:t>
      </w:r>
    </w:p>
    <w:p w:rsidR="00285A39" w:rsidRPr="00285A39" w:rsidRDefault="00285A39" w:rsidP="00285A3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ПРАКТИЧНА ЧАСТИНА</w:t>
      </w:r>
    </w:p>
    <w:p w:rsidR="00285A39" w:rsidRPr="00285A39" w:rsidRDefault="00285A39" w:rsidP="00285A3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85A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1. </w:t>
      </w:r>
    </w:p>
    <w:p w:rsidR="00285A39" w:rsidRPr="00285A39" w:rsidRDefault="00285A39" w:rsidP="00285A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5A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основі теоретичного матеріалу скласти </w:t>
      </w:r>
      <w:r w:rsidRPr="00285A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таблицю «Екологічна проблема – Метод відновлення – Очікуваний результат»</w:t>
      </w:r>
      <w:r w:rsidRPr="00285A3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85A39" w:rsidRPr="00285A39" w:rsidRDefault="00285A39" w:rsidP="00285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5A39">
        <w:rPr>
          <w:rStyle w:val="a4"/>
          <w:rFonts w:ascii="Times New Roman" w:hAnsi="Times New Roman" w:cs="Times New Roman"/>
          <w:sz w:val="28"/>
          <w:szCs w:val="28"/>
        </w:rPr>
        <w:t>Варіант 1:</w:t>
      </w:r>
      <w:r w:rsidRPr="00285A39">
        <w:rPr>
          <w:rFonts w:ascii="Times New Roman" w:hAnsi="Times New Roman" w:cs="Times New Roman"/>
          <w:sz w:val="28"/>
          <w:szCs w:val="28"/>
        </w:rPr>
        <w:t xml:space="preserve"> Україна – Кувейт – Балкани</w:t>
      </w:r>
      <w:r w:rsidRPr="00285A39">
        <w:rPr>
          <w:rFonts w:ascii="Times New Roman" w:hAnsi="Times New Roman" w:cs="Times New Roman"/>
          <w:sz w:val="28"/>
          <w:szCs w:val="28"/>
        </w:rPr>
        <w:br/>
      </w:r>
      <w:r w:rsidRPr="00285A39">
        <w:rPr>
          <w:rStyle w:val="a4"/>
          <w:rFonts w:ascii="Times New Roman" w:hAnsi="Times New Roman" w:cs="Times New Roman"/>
          <w:sz w:val="28"/>
          <w:szCs w:val="28"/>
        </w:rPr>
        <w:t>Варіант 2:</w:t>
      </w:r>
      <w:r w:rsidRPr="00285A39">
        <w:rPr>
          <w:rFonts w:ascii="Times New Roman" w:hAnsi="Times New Roman" w:cs="Times New Roman"/>
          <w:sz w:val="28"/>
          <w:szCs w:val="28"/>
        </w:rPr>
        <w:t xml:space="preserve"> Україна – В’єтнам – Ірак</w:t>
      </w:r>
      <w:r w:rsidRPr="00285A39">
        <w:rPr>
          <w:rFonts w:ascii="Times New Roman" w:hAnsi="Times New Roman" w:cs="Times New Roman"/>
          <w:sz w:val="28"/>
          <w:szCs w:val="28"/>
        </w:rPr>
        <w:br/>
      </w:r>
      <w:r w:rsidRPr="00285A39">
        <w:rPr>
          <w:rStyle w:val="a4"/>
          <w:rFonts w:ascii="Times New Roman" w:hAnsi="Times New Roman" w:cs="Times New Roman"/>
          <w:sz w:val="28"/>
          <w:szCs w:val="28"/>
        </w:rPr>
        <w:t>Варіант 3:</w:t>
      </w:r>
      <w:r w:rsidRPr="00285A39">
        <w:rPr>
          <w:rFonts w:ascii="Times New Roman" w:hAnsi="Times New Roman" w:cs="Times New Roman"/>
          <w:sz w:val="28"/>
          <w:szCs w:val="28"/>
        </w:rPr>
        <w:t xml:space="preserve"> Україна – Афганістан – Сирія</w:t>
      </w:r>
      <w:r w:rsidRPr="00285A39">
        <w:rPr>
          <w:rFonts w:ascii="Times New Roman" w:hAnsi="Times New Roman" w:cs="Times New Roman"/>
          <w:sz w:val="28"/>
          <w:szCs w:val="28"/>
        </w:rPr>
        <w:br/>
      </w:r>
      <w:r w:rsidRPr="00285A39">
        <w:rPr>
          <w:rStyle w:val="a4"/>
          <w:rFonts w:ascii="Times New Roman" w:hAnsi="Times New Roman" w:cs="Times New Roman"/>
          <w:sz w:val="28"/>
          <w:szCs w:val="28"/>
        </w:rPr>
        <w:t>Варіант 4:</w:t>
      </w:r>
      <w:r w:rsidRPr="00285A39">
        <w:rPr>
          <w:rFonts w:ascii="Times New Roman" w:hAnsi="Times New Roman" w:cs="Times New Roman"/>
          <w:sz w:val="28"/>
          <w:szCs w:val="28"/>
        </w:rPr>
        <w:t xml:space="preserve"> Кувейт – Балкани – Україна</w:t>
      </w:r>
      <w:r w:rsidRPr="00285A39">
        <w:rPr>
          <w:rFonts w:ascii="Times New Roman" w:hAnsi="Times New Roman" w:cs="Times New Roman"/>
          <w:sz w:val="28"/>
          <w:szCs w:val="28"/>
        </w:rPr>
        <w:br/>
      </w:r>
      <w:r w:rsidRPr="00285A39">
        <w:rPr>
          <w:rStyle w:val="a4"/>
          <w:rFonts w:ascii="Times New Roman" w:hAnsi="Times New Roman" w:cs="Times New Roman"/>
          <w:sz w:val="28"/>
          <w:szCs w:val="28"/>
        </w:rPr>
        <w:t>Варіант 5:</w:t>
      </w:r>
      <w:r w:rsidRPr="00285A39">
        <w:rPr>
          <w:rFonts w:ascii="Times New Roman" w:hAnsi="Times New Roman" w:cs="Times New Roman"/>
          <w:sz w:val="28"/>
          <w:szCs w:val="28"/>
        </w:rPr>
        <w:t xml:space="preserve"> Україна – Грузія – Афганістан</w:t>
      </w:r>
      <w:r w:rsidRPr="00285A39">
        <w:rPr>
          <w:rFonts w:ascii="Times New Roman" w:hAnsi="Times New Roman" w:cs="Times New Roman"/>
          <w:sz w:val="28"/>
          <w:szCs w:val="28"/>
        </w:rPr>
        <w:br/>
      </w:r>
      <w:r w:rsidRPr="00285A39">
        <w:rPr>
          <w:rStyle w:val="a4"/>
          <w:rFonts w:ascii="Times New Roman" w:hAnsi="Times New Roman" w:cs="Times New Roman"/>
          <w:sz w:val="28"/>
          <w:szCs w:val="28"/>
        </w:rPr>
        <w:t>Варіант 6:</w:t>
      </w:r>
      <w:r w:rsidRPr="00285A39">
        <w:rPr>
          <w:rFonts w:ascii="Times New Roman" w:hAnsi="Times New Roman" w:cs="Times New Roman"/>
          <w:sz w:val="28"/>
          <w:szCs w:val="28"/>
        </w:rPr>
        <w:t xml:space="preserve"> Ірак – Сирія – Україна</w:t>
      </w:r>
      <w:r w:rsidRPr="00285A39">
        <w:rPr>
          <w:rFonts w:ascii="Times New Roman" w:hAnsi="Times New Roman" w:cs="Times New Roman"/>
          <w:sz w:val="28"/>
          <w:szCs w:val="28"/>
        </w:rPr>
        <w:br/>
      </w:r>
      <w:r w:rsidRPr="00285A39">
        <w:rPr>
          <w:rStyle w:val="a4"/>
          <w:rFonts w:ascii="Times New Roman" w:hAnsi="Times New Roman" w:cs="Times New Roman"/>
          <w:sz w:val="28"/>
          <w:szCs w:val="28"/>
        </w:rPr>
        <w:t>Варіант 7:</w:t>
      </w:r>
      <w:r w:rsidRPr="00285A39">
        <w:rPr>
          <w:rFonts w:ascii="Times New Roman" w:hAnsi="Times New Roman" w:cs="Times New Roman"/>
          <w:sz w:val="28"/>
          <w:szCs w:val="28"/>
        </w:rPr>
        <w:t xml:space="preserve"> Україна – Ліван – Балкани</w:t>
      </w:r>
      <w:r w:rsidRPr="00285A39">
        <w:rPr>
          <w:rFonts w:ascii="Times New Roman" w:hAnsi="Times New Roman" w:cs="Times New Roman"/>
          <w:sz w:val="28"/>
          <w:szCs w:val="28"/>
        </w:rPr>
        <w:br/>
      </w:r>
      <w:r w:rsidRPr="00285A39">
        <w:rPr>
          <w:rStyle w:val="a4"/>
          <w:rFonts w:ascii="Times New Roman" w:hAnsi="Times New Roman" w:cs="Times New Roman"/>
          <w:sz w:val="28"/>
          <w:szCs w:val="28"/>
        </w:rPr>
        <w:t>Варіант 8:</w:t>
      </w:r>
      <w:r w:rsidRPr="00285A39">
        <w:rPr>
          <w:rFonts w:ascii="Times New Roman" w:hAnsi="Times New Roman" w:cs="Times New Roman"/>
          <w:sz w:val="28"/>
          <w:szCs w:val="28"/>
        </w:rPr>
        <w:t xml:space="preserve"> Україна – Хорватія – Кувейт</w:t>
      </w:r>
      <w:r w:rsidRPr="00285A39">
        <w:rPr>
          <w:rFonts w:ascii="Times New Roman" w:hAnsi="Times New Roman" w:cs="Times New Roman"/>
          <w:sz w:val="28"/>
          <w:szCs w:val="28"/>
        </w:rPr>
        <w:br/>
      </w:r>
      <w:r w:rsidRPr="00285A39">
        <w:rPr>
          <w:rStyle w:val="a4"/>
          <w:rFonts w:ascii="Times New Roman" w:hAnsi="Times New Roman" w:cs="Times New Roman"/>
          <w:sz w:val="28"/>
          <w:szCs w:val="28"/>
        </w:rPr>
        <w:t>Варіант 9:</w:t>
      </w:r>
      <w:r w:rsidRPr="00285A39">
        <w:rPr>
          <w:rFonts w:ascii="Times New Roman" w:hAnsi="Times New Roman" w:cs="Times New Roman"/>
          <w:sz w:val="28"/>
          <w:szCs w:val="28"/>
        </w:rPr>
        <w:t xml:space="preserve"> Україна – В’єтнам – Балкани</w:t>
      </w:r>
      <w:r w:rsidRPr="00285A39">
        <w:rPr>
          <w:rFonts w:ascii="Times New Roman" w:hAnsi="Times New Roman" w:cs="Times New Roman"/>
          <w:sz w:val="28"/>
          <w:szCs w:val="28"/>
        </w:rPr>
        <w:br/>
      </w:r>
      <w:r w:rsidRPr="00285A39">
        <w:rPr>
          <w:rStyle w:val="a4"/>
          <w:rFonts w:ascii="Times New Roman" w:hAnsi="Times New Roman" w:cs="Times New Roman"/>
          <w:sz w:val="28"/>
          <w:szCs w:val="28"/>
        </w:rPr>
        <w:t>Варіант 10:</w:t>
      </w:r>
      <w:r w:rsidRPr="00285A39">
        <w:rPr>
          <w:rFonts w:ascii="Times New Roman" w:hAnsi="Times New Roman" w:cs="Times New Roman"/>
          <w:sz w:val="28"/>
          <w:szCs w:val="28"/>
        </w:rPr>
        <w:t xml:space="preserve"> Україна – Кувейт – Афганістан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2410"/>
        <w:gridCol w:w="2212"/>
        <w:gridCol w:w="2948"/>
      </w:tblGrid>
      <w:tr w:rsidR="00285A39" w:rsidRPr="00285A39" w:rsidTr="00285A39">
        <w:trPr>
          <w:tblHeader/>
          <w:tblCellSpacing w:w="15" w:type="dxa"/>
        </w:trPr>
        <w:tc>
          <w:tcPr>
            <w:tcW w:w="1651" w:type="dxa"/>
          </w:tcPr>
          <w:p w:rsidR="00285A39" w:rsidRPr="00285A39" w:rsidRDefault="00285A39" w:rsidP="00285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285A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Країна</w:t>
            </w:r>
          </w:p>
        </w:tc>
        <w:tc>
          <w:tcPr>
            <w:tcW w:w="2380" w:type="dxa"/>
            <w:vAlign w:val="center"/>
            <w:hideMark/>
          </w:tcPr>
          <w:p w:rsidR="00285A39" w:rsidRPr="00285A39" w:rsidRDefault="00285A39" w:rsidP="00285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285A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Екологічна проблема</w:t>
            </w:r>
          </w:p>
        </w:tc>
        <w:tc>
          <w:tcPr>
            <w:tcW w:w="2182" w:type="dxa"/>
            <w:vAlign w:val="center"/>
            <w:hideMark/>
          </w:tcPr>
          <w:p w:rsidR="00285A39" w:rsidRPr="00285A39" w:rsidRDefault="00285A39" w:rsidP="00285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285A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Метод відновлення</w:t>
            </w:r>
          </w:p>
        </w:tc>
        <w:tc>
          <w:tcPr>
            <w:tcW w:w="0" w:type="auto"/>
            <w:vAlign w:val="center"/>
            <w:hideMark/>
          </w:tcPr>
          <w:p w:rsidR="00285A39" w:rsidRPr="00285A39" w:rsidRDefault="00285A39" w:rsidP="00285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285A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Очікуваний результат</w:t>
            </w:r>
          </w:p>
        </w:tc>
      </w:tr>
      <w:tr w:rsidR="00285A39" w:rsidRPr="00285A39" w:rsidTr="00285A39">
        <w:trPr>
          <w:tblCellSpacing w:w="15" w:type="dxa"/>
        </w:trPr>
        <w:tc>
          <w:tcPr>
            <w:tcW w:w="1651" w:type="dxa"/>
          </w:tcPr>
          <w:p w:rsidR="00285A39" w:rsidRPr="00285A39" w:rsidRDefault="00285A39" w:rsidP="00285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380" w:type="dxa"/>
            <w:vAlign w:val="center"/>
          </w:tcPr>
          <w:p w:rsidR="00285A39" w:rsidRPr="00285A39" w:rsidRDefault="00285A39" w:rsidP="00285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82" w:type="dxa"/>
            <w:vAlign w:val="center"/>
          </w:tcPr>
          <w:p w:rsidR="00285A39" w:rsidRPr="00285A39" w:rsidRDefault="00285A39" w:rsidP="00285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285A39" w:rsidRPr="00285A39" w:rsidRDefault="00285A39" w:rsidP="00285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85A39" w:rsidRPr="00285A39" w:rsidTr="00285A39">
        <w:trPr>
          <w:tblCellSpacing w:w="15" w:type="dxa"/>
        </w:trPr>
        <w:tc>
          <w:tcPr>
            <w:tcW w:w="1651" w:type="dxa"/>
          </w:tcPr>
          <w:p w:rsidR="00285A39" w:rsidRPr="00285A39" w:rsidRDefault="00285A39" w:rsidP="00285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380" w:type="dxa"/>
            <w:vAlign w:val="center"/>
          </w:tcPr>
          <w:p w:rsidR="00285A39" w:rsidRPr="00285A39" w:rsidRDefault="00285A39" w:rsidP="00285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82" w:type="dxa"/>
            <w:vAlign w:val="center"/>
          </w:tcPr>
          <w:p w:rsidR="00285A39" w:rsidRPr="00285A39" w:rsidRDefault="00285A39" w:rsidP="00285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285A39" w:rsidRPr="00285A39" w:rsidRDefault="00285A39" w:rsidP="00285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85A39" w:rsidRPr="00285A39" w:rsidTr="00285A39">
        <w:trPr>
          <w:tblCellSpacing w:w="15" w:type="dxa"/>
        </w:trPr>
        <w:tc>
          <w:tcPr>
            <w:tcW w:w="1651" w:type="dxa"/>
          </w:tcPr>
          <w:p w:rsidR="00285A39" w:rsidRPr="00285A39" w:rsidRDefault="00285A39" w:rsidP="00285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380" w:type="dxa"/>
            <w:vAlign w:val="center"/>
          </w:tcPr>
          <w:p w:rsidR="00285A39" w:rsidRPr="00285A39" w:rsidRDefault="00285A39" w:rsidP="00285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82" w:type="dxa"/>
            <w:vAlign w:val="center"/>
          </w:tcPr>
          <w:p w:rsidR="00285A39" w:rsidRPr="00285A39" w:rsidRDefault="00285A39" w:rsidP="00285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285A39" w:rsidRPr="00285A39" w:rsidRDefault="00285A39" w:rsidP="00285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285A39" w:rsidRPr="00285A39" w:rsidRDefault="00285A39" w:rsidP="00285A3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85A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2. </w:t>
      </w:r>
    </w:p>
    <w:p w:rsidR="00285A39" w:rsidRPr="00285A39" w:rsidRDefault="00285A39" w:rsidP="00285A3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5A39">
        <w:rPr>
          <w:rFonts w:ascii="Times New Roman" w:eastAsia="Times New Roman" w:hAnsi="Times New Roman" w:cs="Times New Roman"/>
          <w:sz w:val="28"/>
          <w:szCs w:val="28"/>
          <w:lang w:eastAsia="uk-UA"/>
        </w:rPr>
        <w:t>Обрати один компонент довкілля (ґрунти, ліси або водойми).</w:t>
      </w:r>
    </w:p>
    <w:p w:rsidR="00285A39" w:rsidRPr="00285A39" w:rsidRDefault="00285A39" w:rsidP="00285A3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5A39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Описати можливі наслідки військового впливу для цього об’єкта.</w:t>
      </w:r>
    </w:p>
    <w:p w:rsidR="00285A39" w:rsidRPr="00285A39" w:rsidRDefault="00285A39" w:rsidP="00285A3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5A39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Розробити план відновлення (мінімум 5 заходів), вказавши ресурси, методи та очікувані результати.</w:t>
      </w:r>
    </w:p>
    <w:p w:rsidR="00285A39" w:rsidRPr="00285A39" w:rsidRDefault="00285A39" w:rsidP="00285A3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5A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Оформити результати у вигляді короткої презентації або </w:t>
      </w:r>
      <w:proofErr w:type="spellStart"/>
      <w:r w:rsidRPr="00285A3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постера</w:t>
      </w:r>
      <w:proofErr w:type="spellEnd"/>
      <w:r w:rsidRPr="00285A3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85A39" w:rsidRPr="00285A39" w:rsidRDefault="00285A39" w:rsidP="00285A3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85A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 xml:space="preserve">Завдання 3. </w:t>
      </w:r>
    </w:p>
    <w:p w:rsidR="00285A39" w:rsidRPr="00285A39" w:rsidRDefault="00285A39" w:rsidP="00285A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5A39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Описати:</w:t>
      </w:r>
    </w:p>
    <w:p w:rsidR="00285A39" w:rsidRPr="00285A39" w:rsidRDefault="00285A39" w:rsidP="00285A3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5A39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методи відновлення найбільш придатні для Полісся та Лісостепу України?</w:t>
      </w:r>
    </w:p>
    <w:p w:rsidR="00285A39" w:rsidRDefault="00285A39" w:rsidP="00285A3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5A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Чи можливе застосування </w:t>
      </w:r>
      <w:proofErr w:type="spellStart"/>
      <w:r w:rsidRPr="00285A39">
        <w:rPr>
          <w:rFonts w:ascii="Times New Roman" w:eastAsia="Times New Roman" w:hAnsi="Times New Roman" w:cs="Times New Roman"/>
          <w:sz w:val="28"/>
          <w:szCs w:val="28"/>
          <w:lang w:eastAsia="uk-UA"/>
        </w:rPr>
        <w:t>фіторемедіаційних</w:t>
      </w:r>
      <w:proofErr w:type="spellEnd"/>
      <w:r w:rsidRPr="00285A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методів у зонах, забруднених вибухівкою?</w:t>
      </w:r>
    </w:p>
    <w:p w:rsidR="00E52474" w:rsidRPr="00285A39" w:rsidRDefault="00E52474" w:rsidP="00E5247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</w:p>
    <w:p w:rsidR="00285A39" w:rsidRPr="00285A39" w:rsidRDefault="00285A39" w:rsidP="00285A3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85A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ДАТИ ВІДПОВІДІ НА ЗАПИТАННЯ.</w:t>
      </w:r>
    </w:p>
    <w:p w:rsidR="00285A39" w:rsidRPr="00285A39" w:rsidRDefault="00285A39" w:rsidP="00285A3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5A39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основні види екологічної шкоди завдають вибухонебезпечні речовини?</w:t>
      </w:r>
    </w:p>
    <w:p w:rsidR="00285A39" w:rsidRPr="00285A39" w:rsidRDefault="00285A39" w:rsidP="00285A3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5A39">
        <w:rPr>
          <w:rFonts w:ascii="Times New Roman" w:eastAsia="Times New Roman" w:hAnsi="Times New Roman" w:cs="Times New Roman"/>
          <w:sz w:val="28"/>
          <w:szCs w:val="28"/>
          <w:lang w:eastAsia="uk-UA"/>
        </w:rPr>
        <w:t>У чому полягає різниця між технічною та біологічною рекультивацією?</w:t>
      </w:r>
    </w:p>
    <w:p w:rsidR="00285A39" w:rsidRPr="00285A39" w:rsidRDefault="00285A39" w:rsidP="00285A3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5A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Які рослини використовуються для </w:t>
      </w:r>
      <w:proofErr w:type="spellStart"/>
      <w:r w:rsidRPr="00285A39">
        <w:rPr>
          <w:rFonts w:ascii="Times New Roman" w:eastAsia="Times New Roman" w:hAnsi="Times New Roman" w:cs="Times New Roman"/>
          <w:sz w:val="28"/>
          <w:szCs w:val="28"/>
          <w:lang w:eastAsia="uk-UA"/>
        </w:rPr>
        <w:t>фіторемедіації</w:t>
      </w:r>
      <w:proofErr w:type="spellEnd"/>
      <w:r w:rsidRPr="00285A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важких металів?</w:t>
      </w:r>
    </w:p>
    <w:p w:rsidR="00285A39" w:rsidRPr="00285A39" w:rsidRDefault="00285A39" w:rsidP="00285A3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5A39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Наведіть приклад міжнародного досвіду відновлення після воєнних дій.</w:t>
      </w:r>
    </w:p>
    <w:p w:rsidR="00285A39" w:rsidRPr="00285A39" w:rsidRDefault="00285A39" w:rsidP="00285A3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5A39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особливості має відновлення лісів у зоні бойових дій в Україні?</w:t>
      </w:r>
    </w:p>
    <w:p w:rsidR="00646E2E" w:rsidRPr="00285A39" w:rsidRDefault="00E52474" w:rsidP="00285A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46E2E" w:rsidRPr="00285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D4121"/>
    <w:multiLevelType w:val="multilevel"/>
    <w:tmpl w:val="812CF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A305B"/>
    <w:multiLevelType w:val="multilevel"/>
    <w:tmpl w:val="A8B0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7B3440"/>
    <w:multiLevelType w:val="multilevel"/>
    <w:tmpl w:val="93A4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A8711B"/>
    <w:multiLevelType w:val="multilevel"/>
    <w:tmpl w:val="C1C8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0E0FB5"/>
    <w:multiLevelType w:val="multilevel"/>
    <w:tmpl w:val="96CA6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D15CC8"/>
    <w:multiLevelType w:val="multilevel"/>
    <w:tmpl w:val="619C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3436EA"/>
    <w:multiLevelType w:val="multilevel"/>
    <w:tmpl w:val="DA0A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2A7B2C"/>
    <w:multiLevelType w:val="multilevel"/>
    <w:tmpl w:val="2E5A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194AB0"/>
    <w:multiLevelType w:val="multilevel"/>
    <w:tmpl w:val="3214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927688"/>
    <w:multiLevelType w:val="multilevel"/>
    <w:tmpl w:val="24EA7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9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A39"/>
    <w:rsid w:val="00285A39"/>
    <w:rsid w:val="003F319C"/>
    <w:rsid w:val="00683106"/>
    <w:rsid w:val="006F6D6C"/>
    <w:rsid w:val="00E5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2D7FB-7BFD-498C-A533-41386E58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5A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285A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285A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5A3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85A3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285A3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285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85A39"/>
    <w:rPr>
      <w:b/>
      <w:bCs/>
    </w:rPr>
  </w:style>
  <w:style w:type="character" w:styleId="a5">
    <w:name w:val="Emphasis"/>
    <w:basedOn w:val="a0"/>
    <w:uiPriority w:val="20"/>
    <w:qFormat/>
    <w:rsid w:val="00285A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5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3973</Words>
  <Characters>2266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2025-10-02T05:10:00Z</dcterms:created>
  <dcterms:modified xsi:type="dcterms:W3CDTF">2025-10-02T05:21:00Z</dcterms:modified>
</cp:coreProperties>
</file>