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4164" w14:textId="73695F56" w:rsidR="005B58B5" w:rsidRPr="000D7329" w:rsidRDefault="005B58B5" w:rsidP="006F531E">
      <w:pPr>
        <w:spacing w:after="0" w:line="240" w:lineRule="auto"/>
        <w:ind w:firstLine="567"/>
        <w:jc w:val="center"/>
        <w:rPr>
          <w:rFonts w:ascii="Times New Roman" w:hAnsi="Times New Roman" w:cs="Times New Roman"/>
          <w:b/>
          <w:bCs/>
          <w:sz w:val="28"/>
          <w:szCs w:val="28"/>
        </w:rPr>
      </w:pPr>
      <w:r w:rsidRPr="000D7329">
        <w:rPr>
          <w:rFonts w:ascii="Times New Roman" w:hAnsi="Times New Roman" w:cs="Times New Roman"/>
          <w:b/>
          <w:bCs/>
          <w:sz w:val="28"/>
          <w:szCs w:val="28"/>
        </w:rPr>
        <w:t>Практична робота</w:t>
      </w:r>
    </w:p>
    <w:p w14:paraId="2564D515" w14:textId="051560A6" w:rsidR="005B58B5" w:rsidRPr="000D7329" w:rsidRDefault="005B58B5" w:rsidP="00614EB9">
      <w:pPr>
        <w:spacing w:after="0" w:line="240" w:lineRule="auto"/>
        <w:ind w:firstLine="567"/>
        <w:jc w:val="center"/>
        <w:rPr>
          <w:rFonts w:ascii="Times New Roman" w:eastAsia="Times New Roman" w:hAnsi="Times New Roman" w:cs="Times New Roman"/>
          <w:b/>
          <w:bCs/>
          <w:sz w:val="28"/>
          <w:szCs w:val="28"/>
          <w:lang w:eastAsia="uk-UA"/>
        </w:rPr>
      </w:pPr>
      <w:r w:rsidRPr="000D7329">
        <w:rPr>
          <w:rFonts w:ascii="Times New Roman" w:hAnsi="Times New Roman" w:cs="Times New Roman"/>
          <w:b/>
          <w:bCs/>
          <w:sz w:val="28"/>
          <w:szCs w:val="28"/>
        </w:rPr>
        <w:t>Тема</w:t>
      </w:r>
      <w:r w:rsidR="00614EB9" w:rsidRPr="000D7329">
        <w:rPr>
          <w:rFonts w:ascii="Times New Roman" w:hAnsi="Times New Roman" w:cs="Times New Roman"/>
          <w:b/>
          <w:bCs/>
          <w:sz w:val="28"/>
          <w:szCs w:val="28"/>
        </w:rPr>
        <w:t>: а</w:t>
      </w:r>
      <w:r w:rsidR="00614EB9" w:rsidRPr="000D7329">
        <w:rPr>
          <w:rFonts w:ascii="Times New Roman" w:hAnsi="Times New Roman" w:cs="Times New Roman"/>
          <w:b/>
          <w:bCs/>
          <w:sz w:val="28"/>
          <w:szCs w:val="28"/>
        </w:rPr>
        <w:t>наліз ESG-звітності та розробка рекомендацій для впровадження ESG-стратегії компанії</w:t>
      </w:r>
    </w:p>
    <w:p w14:paraId="284F55C1" w14:textId="35B9D5AE" w:rsidR="005B58B5" w:rsidRPr="000D7329" w:rsidRDefault="005B58B5" w:rsidP="009929FA">
      <w:pPr>
        <w:spacing w:after="0" w:line="240" w:lineRule="auto"/>
        <w:ind w:firstLine="567"/>
        <w:jc w:val="both"/>
        <w:rPr>
          <w:rFonts w:ascii="Times New Roman" w:eastAsia="Times New Roman" w:hAnsi="Times New Roman" w:cs="Times New Roman"/>
          <w:sz w:val="28"/>
          <w:szCs w:val="28"/>
          <w:lang w:eastAsia="uk-UA"/>
        </w:rPr>
      </w:pPr>
      <w:r w:rsidRPr="000D7329">
        <w:rPr>
          <w:rFonts w:ascii="Times New Roman" w:hAnsi="Times New Roman" w:cs="Times New Roman"/>
          <w:b/>
          <w:bCs/>
          <w:sz w:val="28"/>
          <w:szCs w:val="28"/>
        </w:rPr>
        <w:t>Мета</w:t>
      </w:r>
      <w:r w:rsidRPr="000D7329">
        <w:rPr>
          <w:rFonts w:ascii="Times New Roman" w:hAnsi="Times New Roman" w:cs="Times New Roman"/>
          <w:sz w:val="28"/>
          <w:szCs w:val="28"/>
        </w:rPr>
        <w:t xml:space="preserve">: </w:t>
      </w:r>
      <w:r w:rsidR="00614EB9" w:rsidRPr="000D7329">
        <w:rPr>
          <w:rFonts w:ascii="Times New Roman" w:hAnsi="Times New Roman" w:cs="Times New Roman"/>
          <w:sz w:val="28"/>
          <w:szCs w:val="28"/>
        </w:rPr>
        <w:t>с</w:t>
      </w:r>
      <w:r w:rsidR="00614EB9" w:rsidRPr="000D7329">
        <w:rPr>
          <w:rFonts w:ascii="Times New Roman" w:hAnsi="Times New Roman" w:cs="Times New Roman"/>
          <w:sz w:val="28"/>
          <w:szCs w:val="28"/>
        </w:rPr>
        <w:t>формувати навички аналізу ESG-звітності компаній, розвинути вміння ідентифікувати ESG-ризики та можливості для підприємств різних галузей, а також навчитися розробляти практичні рекомендації для впровадження ESG-стратегії на основі найкращих галузевих практик.</w:t>
      </w:r>
    </w:p>
    <w:p w14:paraId="7AB3E93E" w14:textId="1793183D" w:rsidR="002B51EE" w:rsidRPr="000D7329" w:rsidRDefault="002B51EE" w:rsidP="009929FA">
      <w:pPr>
        <w:spacing w:after="0" w:line="240" w:lineRule="auto"/>
        <w:ind w:firstLine="567"/>
        <w:jc w:val="both"/>
        <w:rPr>
          <w:rFonts w:ascii="Times New Roman" w:eastAsia="Times New Roman" w:hAnsi="Times New Roman" w:cs="Times New Roman"/>
          <w:b/>
          <w:bCs/>
          <w:sz w:val="28"/>
          <w:szCs w:val="28"/>
          <w:lang w:eastAsia="uk-UA"/>
        </w:rPr>
      </w:pPr>
      <w:r w:rsidRPr="000D7329">
        <w:rPr>
          <w:rFonts w:ascii="Times New Roman" w:eastAsia="Times New Roman" w:hAnsi="Times New Roman" w:cs="Times New Roman"/>
          <w:b/>
          <w:bCs/>
          <w:sz w:val="28"/>
          <w:szCs w:val="28"/>
          <w:lang w:eastAsia="uk-UA"/>
        </w:rPr>
        <w:t>Теоретичні відомості</w:t>
      </w:r>
    </w:p>
    <w:p w14:paraId="33C10B8D"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ESG є тривимірним підходом до управління компаніями та інвестиціями, що включає екологічні, соціальні та управлінські аспекти. Ось основні аспекти кожної з цих категорій:</w:t>
      </w:r>
    </w:p>
    <w:p w14:paraId="5CC4C738" w14:textId="77777777" w:rsidR="009929FA" w:rsidRPr="000D7329" w:rsidRDefault="009929FA" w:rsidP="009929FA">
      <w:pPr>
        <w:spacing w:after="0" w:line="240" w:lineRule="auto"/>
        <w:ind w:firstLine="567"/>
        <w:jc w:val="both"/>
        <w:rPr>
          <w:rFonts w:ascii="Times New Roman" w:hAnsi="Times New Roman" w:cs="Times New Roman"/>
          <w:b/>
          <w:bCs/>
          <w:sz w:val="28"/>
          <w:szCs w:val="28"/>
        </w:rPr>
      </w:pPr>
      <w:r w:rsidRPr="000D7329">
        <w:rPr>
          <w:rFonts w:ascii="Times New Roman" w:hAnsi="Times New Roman" w:cs="Times New Roman"/>
          <w:b/>
          <w:bCs/>
          <w:sz w:val="28"/>
          <w:szCs w:val="28"/>
        </w:rPr>
        <w:t>Екологічні (</w:t>
      </w:r>
      <w:proofErr w:type="spellStart"/>
      <w:r w:rsidRPr="000D7329">
        <w:rPr>
          <w:rFonts w:ascii="Times New Roman" w:hAnsi="Times New Roman" w:cs="Times New Roman"/>
          <w:b/>
          <w:bCs/>
          <w:sz w:val="28"/>
          <w:szCs w:val="28"/>
        </w:rPr>
        <w:t>Environmental</w:t>
      </w:r>
      <w:proofErr w:type="spellEnd"/>
      <w:r w:rsidRPr="000D7329">
        <w:rPr>
          <w:rFonts w:ascii="Times New Roman" w:hAnsi="Times New Roman" w:cs="Times New Roman"/>
          <w:b/>
          <w:bCs/>
          <w:sz w:val="28"/>
          <w:szCs w:val="28"/>
        </w:rPr>
        <w:t>):</w:t>
      </w:r>
    </w:p>
    <w:p w14:paraId="041B9D01"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Управління вуглецевими викидами: Оцінка та керування викидами парникових газів та іншими аспектами, пов'язаними зі зміною клімату.</w:t>
      </w:r>
    </w:p>
    <w:p w14:paraId="3262EF81"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Енергоефективність та використання ресурсів: Ефективне використання енергії та інших природних ресурсів, а також зниження відходів та забруднення.</w:t>
      </w:r>
    </w:p>
    <w:p w14:paraId="188AEDED"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Захист навколишнього середовища: Вжиття заходів для захисту біорізноманіття, скорочення забруднення води та повітря, керування відходами тощо.</w:t>
      </w:r>
    </w:p>
    <w:p w14:paraId="24D64A35" w14:textId="77777777" w:rsidR="009929FA" w:rsidRPr="000D7329" w:rsidRDefault="009929FA" w:rsidP="009929FA">
      <w:pPr>
        <w:spacing w:after="0" w:line="240" w:lineRule="auto"/>
        <w:ind w:firstLine="567"/>
        <w:jc w:val="both"/>
        <w:rPr>
          <w:rFonts w:ascii="Times New Roman" w:hAnsi="Times New Roman" w:cs="Times New Roman"/>
          <w:b/>
          <w:bCs/>
          <w:sz w:val="28"/>
          <w:szCs w:val="28"/>
        </w:rPr>
      </w:pPr>
      <w:r w:rsidRPr="000D7329">
        <w:rPr>
          <w:rFonts w:ascii="Times New Roman" w:hAnsi="Times New Roman" w:cs="Times New Roman"/>
          <w:b/>
          <w:bCs/>
          <w:sz w:val="28"/>
          <w:szCs w:val="28"/>
        </w:rPr>
        <w:t>Соціальні (</w:t>
      </w:r>
      <w:proofErr w:type="spellStart"/>
      <w:r w:rsidRPr="000D7329">
        <w:rPr>
          <w:rFonts w:ascii="Times New Roman" w:hAnsi="Times New Roman" w:cs="Times New Roman"/>
          <w:b/>
          <w:bCs/>
          <w:sz w:val="28"/>
          <w:szCs w:val="28"/>
        </w:rPr>
        <w:t>Social</w:t>
      </w:r>
      <w:proofErr w:type="spellEnd"/>
      <w:r w:rsidRPr="000D7329">
        <w:rPr>
          <w:rFonts w:ascii="Times New Roman" w:hAnsi="Times New Roman" w:cs="Times New Roman"/>
          <w:b/>
          <w:bCs/>
          <w:sz w:val="28"/>
          <w:szCs w:val="28"/>
        </w:rPr>
        <w:t>):</w:t>
      </w:r>
    </w:p>
    <w:p w14:paraId="4BE99411"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Управління відносинами із заінтересованими сторонами: Включення інтересів співробітників, клієнтів, постачальників, спільноти та інших зацікавлених сторін у бізнес-процеси та прийняття рішень.</w:t>
      </w:r>
    </w:p>
    <w:p w14:paraId="5AE22E96"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Трудові стандарти та права: Забезпечення справедливих трудових умов, запобігання дискримінації та порушенням прав працівників, включаючи безпеку та здоров'я на робочому місці.</w:t>
      </w:r>
    </w:p>
    <w:p w14:paraId="3222053D"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Соціальна відповідальність та взаємодія з спільнотою: Підтримка місцевих спільнот, участь у благодійності, інвестиції у соціальні програми тощо.</w:t>
      </w:r>
    </w:p>
    <w:p w14:paraId="5E2FB958" w14:textId="77777777" w:rsidR="009929FA" w:rsidRPr="000D7329" w:rsidRDefault="009929FA" w:rsidP="009929FA">
      <w:pPr>
        <w:spacing w:after="0" w:line="240" w:lineRule="auto"/>
        <w:ind w:firstLine="567"/>
        <w:jc w:val="both"/>
        <w:rPr>
          <w:rFonts w:ascii="Times New Roman" w:hAnsi="Times New Roman" w:cs="Times New Roman"/>
          <w:b/>
          <w:bCs/>
          <w:sz w:val="28"/>
          <w:szCs w:val="28"/>
        </w:rPr>
      </w:pPr>
      <w:r w:rsidRPr="000D7329">
        <w:rPr>
          <w:rFonts w:ascii="Times New Roman" w:hAnsi="Times New Roman" w:cs="Times New Roman"/>
          <w:b/>
          <w:bCs/>
          <w:sz w:val="28"/>
          <w:szCs w:val="28"/>
        </w:rPr>
        <w:t>Управлінські (</w:t>
      </w:r>
      <w:proofErr w:type="spellStart"/>
      <w:r w:rsidRPr="000D7329">
        <w:rPr>
          <w:rFonts w:ascii="Times New Roman" w:hAnsi="Times New Roman" w:cs="Times New Roman"/>
          <w:b/>
          <w:bCs/>
          <w:sz w:val="28"/>
          <w:szCs w:val="28"/>
        </w:rPr>
        <w:t>Governance</w:t>
      </w:r>
      <w:proofErr w:type="spellEnd"/>
      <w:r w:rsidRPr="000D7329">
        <w:rPr>
          <w:rFonts w:ascii="Times New Roman" w:hAnsi="Times New Roman" w:cs="Times New Roman"/>
          <w:b/>
          <w:bCs/>
          <w:sz w:val="28"/>
          <w:szCs w:val="28"/>
        </w:rPr>
        <w:t>):</w:t>
      </w:r>
    </w:p>
    <w:p w14:paraId="67E64A0B"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Корпоративне управління: Прозорість в управлінні компанією, незалежність та компетентність наглядової ради, захист інтересів акціонерів.</w:t>
      </w:r>
    </w:p>
    <w:p w14:paraId="08B3897A"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 xml:space="preserve">Етика та </w:t>
      </w:r>
      <w:proofErr w:type="spellStart"/>
      <w:r w:rsidRPr="000D7329">
        <w:rPr>
          <w:rFonts w:ascii="Times New Roman" w:hAnsi="Times New Roman" w:cs="Times New Roman"/>
          <w:sz w:val="28"/>
          <w:szCs w:val="28"/>
        </w:rPr>
        <w:t>інтегритет</w:t>
      </w:r>
      <w:proofErr w:type="spellEnd"/>
      <w:r w:rsidRPr="000D7329">
        <w:rPr>
          <w:rFonts w:ascii="Times New Roman" w:hAnsi="Times New Roman" w:cs="Times New Roman"/>
          <w:sz w:val="28"/>
          <w:szCs w:val="28"/>
        </w:rPr>
        <w:t>: Дотримання правових та етичних норм, боротьба з корупцією, дотримання нормативних вимог та стандартів.</w:t>
      </w:r>
    </w:p>
    <w:p w14:paraId="6AADBC00"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Управління ризиками: Оцінка та управління різними ризиками, включаючи фінансові, операційні, правові та репутаційні ризики.</w:t>
      </w:r>
    </w:p>
    <w:p w14:paraId="26122C0F"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Загалом, успішна реалізація принципів ESG вимагає врахування всіх трьох аспектів – екологічних, соціальних та управлінських – у бізнес-стратегії та операційній діяльності компанії чи фонду.</w:t>
      </w:r>
    </w:p>
    <w:p w14:paraId="752B4CF9"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Впровадження ESG (</w:t>
      </w:r>
      <w:proofErr w:type="spellStart"/>
      <w:r w:rsidRPr="000D7329">
        <w:rPr>
          <w:rFonts w:ascii="Times New Roman" w:hAnsi="Times New Roman" w:cs="Times New Roman"/>
          <w:sz w:val="28"/>
          <w:szCs w:val="28"/>
        </w:rPr>
        <w:t>Environmental</w:t>
      </w:r>
      <w:proofErr w:type="spellEnd"/>
      <w:r w:rsidRPr="000D7329">
        <w:rPr>
          <w:rFonts w:ascii="Times New Roman" w:hAnsi="Times New Roman" w:cs="Times New Roman"/>
          <w:sz w:val="28"/>
          <w:szCs w:val="28"/>
        </w:rPr>
        <w:t xml:space="preserve">, </w:t>
      </w:r>
      <w:proofErr w:type="spellStart"/>
      <w:r w:rsidRPr="000D7329">
        <w:rPr>
          <w:rFonts w:ascii="Times New Roman" w:hAnsi="Times New Roman" w:cs="Times New Roman"/>
          <w:sz w:val="28"/>
          <w:szCs w:val="28"/>
        </w:rPr>
        <w:t>Social</w:t>
      </w:r>
      <w:proofErr w:type="spellEnd"/>
      <w:r w:rsidRPr="000D7329">
        <w:rPr>
          <w:rFonts w:ascii="Times New Roman" w:hAnsi="Times New Roman" w:cs="Times New Roman"/>
          <w:sz w:val="28"/>
          <w:szCs w:val="28"/>
        </w:rPr>
        <w:t xml:space="preserve">, </w:t>
      </w:r>
      <w:proofErr w:type="spellStart"/>
      <w:r w:rsidRPr="000D7329">
        <w:rPr>
          <w:rFonts w:ascii="Times New Roman" w:hAnsi="Times New Roman" w:cs="Times New Roman"/>
          <w:sz w:val="28"/>
          <w:szCs w:val="28"/>
        </w:rPr>
        <w:t>Governance</w:t>
      </w:r>
      <w:proofErr w:type="spellEnd"/>
      <w:r w:rsidRPr="000D7329">
        <w:rPr>
          <w:rFonts w:ascii="Times New Roman" w:hAnsi="Times New Roman" w:cs="Times New Roman"/>
          <w:sz w:val="28"/>
          <w:szCs w:val="28"/>
        </w:rPr>
        <w:t>) є важливим для бізнесу з кількох причин:</w:t>
      </w:r>
    </w:p>
    <w:p w14:paraId="1934DD3A"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b/>
          <w:bCs/>
          <w:sz w:val="28"/>
          <w:szCs w:val="28"/>
        </w:rPr>
        <w:t>Відповідність вимогам ринку</w:t>
      </w:r>
      <w:r w:rsidRPr="000D7329">
        <w:rPr>
          <w:rFonts w:ascii="Times New Roman" w:hAnsi="Times New Roman" w:cs="Times New Roman"/>
          <w:sz w:val="28"/>
          <w:szCs w:val="28"/>
        </w:rPr>
        <w:t>: Сьогодні споживачі, інвестори та інші зацікавлені сторони дедалі більше орієнтуються на компанії, які демонструють свою відповідальність у сфері довкілля, соціальних питань та корпоративного управління. Впровадження ESG допомагає компаніям відповідати цим вимогам та залишатися конкурентоспроможними на ринку.</w:t>
      </w:r>
    </w:p>
    <w:p w14:paraId="1C17BBC9" w14:textId="77777777" w:rsidR="009929FA" w:rsidRPr="000D7329" w:rsidRDefault="009929FA" w:rsidP="009929FA">
      <w:pPr>
        <w:spacing w:after="0" w:line="240" w:lineRule="auto"/>
        <w:ind w:firstLine="567"/>
        <w:jc w:val="both"/>
        <w:rPr>
          <w:rFonts w:ascii="Times New Roman" w:hAnsi="Times New Roman" w:cs="Times New Roman"/>
          <w:sz w:val="28"/>
          <w:szCs w:val="28"/>
        </w:rPr>
      </w:pPr>
      <w:proofErr w:type="spellStart"/>
      <w:r w:rsidRPr="000D7329">
        <w:rPr>
          <w:rFonts w:ascii="Times New Roman" w:hAnsi="Times New Roman" w:cs="Times New Roman"/>
          <w:b/>
          <w:bCs/>
          <w:sz w:val="28"/>
          <w:szCs w:val="28"/>
        </w:rPr>
        <w:t>Рискоменеджмент</w:t>
      </w:r>
      <w:proofErr w:type="spellEnd"/>
      <w:r w:rsidRPr="000D7329">
        <w:rPr>
          <w:rFonts w:ascii="Times New Roman" w:hAnsi="Times New Roman" w:cs="Times New Roman"/>
          <w:b/>
          <w:bCs/>
          <w:sz w:val="28"/>
          <w:szCs w:val="28"/>
        </w:rPr>
        <w:t>:</w:t>
      </w:r>
      <w:r w:rsidRPr="000D7329">
        <w:rPr>
          <w:rFonts w:ascii="Times New Roman" w:hAnsi="Times New Roman" w:cs="Times New Roman"/>
          <w:sz w:val="28"/>
          <w:szCs w:val="28"/>
        </w:rPr>
        <w:t xml:space="preserve"> Інтеграція ESG-факторів у бізнес-процеси допомагає компаніям управляти ризиками, пов'язаними з навколишнім середовищем, </w:t>
      </w:r>
      <w:r w:rsidRPr="000D7329">
        <w:rPr>
          <w:rFonts w:ascii="Times New Roman" w:hAnsi="Times New Roman" w:cs="Times New Roman"/>
          <w:sz w:val="28"/>
          <w:szCs w:val="28"/>
        </w:rPr>
        <w:lastRenderedPageBreak/>
        <w:t>соціальними питаннями та управлінням, такими як зміни клімату, соціальні конфлікти, санкції, дотримання законодавства та ін.</w:t>
      </w:r>
    </w:p>
    <w:p w14:paraId="558BCCF5"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b/>
          <w:bCs/>
          <w:sz w:val="28"/>
          <w:szCs w:val="28"/>
        </w:rPr>
        <w:t>Доступ до капіталу:</w:t>
      </w:r>
      <w:r w:rsidRPr="000D7329">
        <w:rPr>
          <w:rFonts w:ascii="Times New Roman" w:hAnsi="Times New Roman" w:cs="Times New Roman"/>
          <w:sz w:val="28"/>
          <w:szCs w:val="28"/>
        </w:rPr>
        <w:t xml:space="preserve"> Інвестори все частіше оцінюють ESG-показники при ухваленні рішень щодо виділення капіталу. Компанії, які демонструють високі стандарти ESG, можуть мати найкращий доступ до капіталу, отримуючи найкращі умови кредитування чи інвестицій.</w:t>
      </w:r>
    </w:p>
    <w:p w14:paraId="6F42C305" w14:textId="77777777" w:rsidR="009929FA" w:rsidRPr="000D7329" w:rsidRDefault="009929FA" w:rsidP="009929F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b/>
          <w:bCs/>
          <w:sz w:val="28"/>
          <w:szCs w:val="28"/>
        </w:rPr>
        <w:t>Поліпшення бренду та репутації:</w:t>
      </w:r>
      <w:r w:rsidRPr="000D7329">
        <w:rPr>
          <w:rFonts w:ascii="Times New Roman" w:hAnsi="Times New Roman" w:cs="Times New Roman"/>
          <w:sz w:val="28"/>
          <w:szCs w:val="28"/>
        </w:rPr>
        <w:t xml:space="preserve"> Компанії, які активно інтегрують ESG у свою діяльність, можуть покращити свій бренд та репутацію, залучаючи споживачів, інвесторів та талановитих співробітників, які поділяють їхні цінності та принципи.</w:t>
      </w:r>
    </w:p>
    <w:p w14:paraId="6F4085DC" w14:textId="77777777" w:rsidR="009929FA" w:rsidRPr="000D7329" w:rsidRDefault="009929FA" w:rsidP="0090593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b/>
          <w:bCs/>
          <w:sz w:val="28"/>
          <w:szCs w:val="28"/>
        </w:rPr>
        <w:t>Інновації та ефективність:</w:t>
      </w:r>
      <w:r w:rsidRPr="000D7329">
        <w:rPr>
          <w:rFonts w:ascii="Times New Roman" w:hAnsi="Times New Roman" w:cs="Times New Roman"/>
          <w:sz w:val="28"/>
          <w:szCs w:val="28"/>
        </w:rPr>
        <w:t xml:space="preserve"> Принципи ESG можуть стимулювати інновації у бізнесі та покращення ефективності. Наприклад, зниження викидів вуглецю або оптимізація використання ресурсів може призвести до зниження витрат та підвищення конкурентоспроможності компанії.</w:t>
      </w:r>
    </w:p>
    <w:p w14:paraId="195C2A42" w14:textId="77777777" w:rsidR="009929FA" w:rsidRPr="000D7329" w:rsidRDefault="009929FA" w:rsidP="0090593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b/>
          <w:bCs/>
          <w:sz w:val="28"/>
          <w:szCs w:val="28"/>
        </w:rPr>
        <w:t>Довгострокова стійкість:</w:t>
      </w:r>
      <w:r w:rsidRPr="000D7329">
        <w:rPr>
          <w:rFonts w:ascii="Times New Roman" w:hAnsi="Times New Roman" w:cs="Times New Roman"/>
          <w:sz w:val="28"/>
          <w:szCs w:val="28"/>
        </w:rPr>
        <w:t xml:space="preserve"> Інтеграція ESG допомагає компаніям будувати більш стійкі та довгострокові бізнес-моделі, що враховують важливість балансу між економічними, соціальними та екологічними аспектами.</w:t>
      </w:r>
    </w:p>
    <w:p w14:paraId="7FCDD7A7" w14:textId="77777777" w:rsidR="009929FA" w:rsidRPr="000D7329" w:rsidRDefault="009929FA" w:rsidP="0090593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В цілому, впровадження ESG є важливим для бізнесу, тому що це сприяє не тільки фінансовій продуктивності, але й сталому розвитку, створенню цінності для зацікавлених сторін та зниженню ризиків.</w:t>
      </w:r>
    </w:p>
    <w:p w14:paraId="2139B421"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Існує кілька стандартів та рамок, пов'язаних з аспектами ESG (</w:t>
      </w:r>
      <w:proofErr w:type="spellStart"/>
      <w:r w:rsidRPr="0090593A">
        <w:rPr>
          <w:rFonts w:ascii="Times New Roman" w:eastAsia="Calibri" w:hAnsi="Times New Roman" w:cs="Times New Roman"/>
          <w:sz w:val="28"/>
          <w:szCs w:val="28"/>
        </w:rPr>
        <w:t>Environmental</w:t>
      </w:r>
      <w:proofErr w:type="spellEnd"/>
      <w:r w:rsidRPr="0090593A">
        <w:rPr>
          <w:rFonts w:ascii="Times New Roman" w:eastAsia="Calibri" w:hAnsi="Times New Roman" w:cs="Times New Roman"/>
          <w:sz w:val="28"/>
          <w:szCs w:val="28"/>
        </w:rPr>
        <w:t xml:space="preserve">, </w:t>
      </w:r>
      <w:proofErr w:type="spellStart"/>
      <w:r w:rsidRPr="0090593A">
        <w:rPr>
          <w:rFonts w:ascii="Times New Roman" w:eastAsia="Calibri" w:hAnsi="Times New Roman" w:cs="Times New Roman"/>
          <w:sz w:val="28"/>
          <w:szCs w:val="28"/>
        </w:rPr>
        <w:t>Social</w:t>
      </w:r>
      <w:proofErr w:type="spellEnd"/>
      <w:r w:rsidRPr="0090593A">
        <w:rPr>
          <w:rFonts w:ascii="Times New Roman" w:eastAsia="Calibri" w:hAnsi="Times New Roman" w:cs="Times New Roman"/>
          <w:sz w:val="28"/>
          <w:szCs w:val="28"/>
        </w:rPr>
        <w:t xml:space="preserve">, </w:t>
      </w:r>
      <w:proofErr w:type="spellStart"/>
      <w:r w:rsidRPr="0090593A">
        <w:rPr>
          <w:rFonts w:ascii="Times New Roman" w:eastAsia="Calibri" w:hAnsi="Times New Roman" w:cs="Times New Roman"/>
          <w:sz w:val="28"/>
          <w:szCs w:val="28"/>
        </w:rPr>
        <w:t>Governance</w:t>
      </w:r>
      <w:proofErr w:type="spellEnd"/>
      <w:r w:rsidRPr="0090593A">
        <w:rPr>
          <w:rFonts w:ascii="Times New Roman" w:eastAsia="Calibri" w:hAnsi="Times New Roman" w:cs="Times New Roman"/>
          <w:sz w:val="28"/>
          <w:szCs w:val="28"/>
        </w:rPr>
        <w:t>), які розроблені різними організаціями та асоціаціями. Ось коротке порівняння деяких із найпоширеніших стандартів:</w:t>
      </w:r>
    </w:p>
    <w:p w14:paraId="0E0C4B51"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r w:rsidRPr="0090593A">
        <w:rPr>
          <w:rFonts w:ascii="Times New Roman" w:eastAsia="Calibri" w:hAnsi="Times New Roman" w:cs="Times New Roman"/>
          <w:b/>
          <w:bCs/>
          <w:sz w:val="28"/>
          <w:szCs w:val="28"/>
        </w:rPr>
        <w:t xml:space="preserve">UN </w:t>
      </w:r>
      <w:proofErr w:type="spellStart"/>
      <w:r w:rsidRPr="0090593A">
        <w:rPr>
          <w:rFonts w:ascii="Times New Roman" w:eastAsia="Calibri" w:hAnsi="Times New Roman" w:cs="Times New Roman"/>
          <w:b/>
          <w:bCs/>
          <w:sz w:val="28"/>
          <w:szCs w:val="28"/>
        </w:rPr>
        <w:t>Global</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Compact</w:t>
      </w:r>
      <w:proofErr w:type="spellEnd"/>
      <w:r w:rsidRPr="0090593A">
        <w:rPr>
          <w:rFonts w:ascii="Times New Roman" w:eastAsia="Calibri" w:hAnsi="Times New Roman" w:cs="Times New Roman"/>
          <w:b/>
          <w:bCs/>
          <w:sz w:val="28"/>
          <w:szCs w:val="28"/>
        </w:rPr>
        <w:t xml:space="preserve"> (UNGC):</w:t>
      </w:r>
    </w:p>
    <w:p w14:paraId="08B212C2"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Область застосування: Принципи UNGC охоплюють чотири області: права людини, трудові стандарти, довкілля та протидію корупції.</w:t>
      </w:r>
    </w:p>
    <w:p w14:paraId="32865606"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Структура: 10 принципів, що ґрунтуються на міжнародних деклараціях, таких як Загальна декларація прав людини та Міжнародні трудові стандарти.</w:t>
      </w:r>
    </w:p>
    <w:p w14:paraId="669EEAD6"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Зобов'язання: Компанії, які приєднуються до UNGC, зобов'язуються дотримуватись і підтримувати ці принципи, а також звітувати про свої зусилля щодо їх впровадження.</w:t>
      </w:r>
    </w:p>
    <w:p w14:paraId="79A3F898"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proofErr w:type="spellStart"/>
      <w:r w:rsidRPr="0090593A">
        <w:rPr>
          <w:rFonts w:ascii="Times New Roman" w:eastAsia="Calibri" w:hAnsi="Times New Roman" w:cs="Times New Roman"/>
          <w:b/>
          <w:bCs/>
          <w:sz w:val="28"/>
          <w:szCs w:val="28"/>
        </w:rPr>
        <w:t>Sustainable</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Development</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Goals</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SDGs</w:t>
      </w:r>
      <w:proofErr w:type="spellEnd"/>
      <w:r w:rsidRPr="0090593A">
        <w:rPr>
          <w:rFonts w:ascii="Times New Roman" w:eastAsia="Calibri" w:hAnsi="Times New Roman" w:cs="Times New Roman"/>
          <w:b/>
          <w:bCs/>
          <w:sz w:val="28"/>
          <w:szCs w:val="28"/>
        </w:rPr>
        <w:t>):</w:t>
      </w:r>
    </w:p>
    <w:p w14:paraId="2284CBCB"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 xml:space="preserve">У </w:t>
      </w:r>
      <w:r w:rsidRPr="0090593A">
        <w:rPr>
          <w:rFonts w:ascii="Times New Roman" w:eastAsia="Calibri" w:hAnsi="Times New Roman" w:cs="Times New Roman"/>
          <w:b/>
          <w:bCs/>
          <w:sz w:val="28"/>
          <w:szCs w:val="28"/>
        </w:rPr>
        <w:t>вересні 2015 року в рамках 70-ї сесії Генеральної Асамблеї ООН у Нью-Йорку відбувся Саміт ООН</w:t>
      </w:r>
      <w:r w:rsidRPr="0090593A">
        <w:rPr>
          <w:rFonts w:ascii="Times New Roman" w:eastAsia="Calibri" w:hAnsi="Times New Roman" w:cs="Times New Roman"/>
          <w:sz w:val="28"/>
          <w:szCs w:val="28"/>
        </w:rPr>
        <w:t xml:space="preserve"> зі сталого розвитку та прийняття Порядку денного розвитку після 2015 року, на якому було затверджено нові орієнтири розвитку. Підсумковим документом Саміту «Перетворення нашого світу: порядок денний у сфері сталого розвитку до 2030 року» було затверджено </w:t>
      </w:r>
      <w:r w:rsidRPr="0090593A">
        <w:rPr>
          <w:rFonts w:ascii="Times New Roman" w:eastAsia="Calibri" w:hAnsi="Times New Roman" w:cs="Times New Roman"/>
          <w:b/>
          <w:bCs/>
          <w:sz w:val="28"/>
          <w:szCs w:val="28"/>
        </w:rPr>
        <w:t>17 Цілей Сталого Розвитку</w:t>
      </w:r>
      <w:r w:rsidRPr="0090593A">
        <w:rPr>
          <w:rFonts w:ascii="Times New Roman" w:eastAsia="Calibri" w:hAnsi="Times New Roman" w:cs="Times New Roman"/>
          <w:sz w:val="28"/>
          <w:szCs w:val="28"/>
        </w:rPr>
        <w:t xml:space="preserve"> та 169 завдань. Україна, як і інші країни-члени ООН, приєдналася до глобального процесу забезпечення сталого розвитку. Для встановлення </w:t>
      </w:r>
      <w:proofErr w:type="spellStart"/>
      <w:r w:rsidRPr="0090593A">
        <w:rPr>
          <w:rFonts w:ascii="Times New Roman" w:eastAsia="Calibri" w:hAnsi="Times New Roman" w:cs="Times New Roman"/>
          <w:sz w:val="28"/>
          <w:szCs w:val="28"/>
        </w:rPr>
        <w:t>стратегiчних</w:t>
      </w:r>
      <w:proofErr w:type="spellEnd"/>
      <w:r w:rsidRPr="0090593A">
        <w:rPr>
          <w:rFonts w:ascii="Times New Roman" w:eastAsia="Calibri" w:hAnsi="Times New Roman" w:cs="Times New Roman"/>
          <w:sz w:val="28"/>
          <w:szCs w:val="28"/>
        </w:rPr>
        <w:t xml:space="preserve"> рамок </w:t>
      </w:r>
      <w:proofErr w:type="spellStart"/>
      <w:r w:rsidRPr="0090593A">
        <w:rPr>
          <w:rFonts w:ascii="Times New Roman" w:eastAsia="Calibri" w:hAnsi="Times New Roman" w:cs="Times New Roman"/>
          <w:sz w:val="28"/>
          <w:szCs w:val="28"/>
        </w:rPr>
        <w:t>нацiонального</w:t>
      </w:r>
      <w:proofErr w:type="spellEnd"/>
      <w:r w:rsidRPr="0090593A">
        <w:rPr>
          <w:rFonts w:ascii="Times New Roman" w:eastAsia="Calibri" w:hAnsi="Times New Roman" w:cs="Times New Roman"/>
          <w:sz w:val="28"/>
          <w:szCs w:val="28"/>
        </w:rPr>
        <w:t xml:space="preserve"> розвитку України на </w:t>
      </w:r>
      <w:proofErr w:type="spellStart"/>
      <w:r w:rsidRPr="0090593A">
        <w:rPr>
          <w:rFonts w:ascii="Times New Roman" w:eastAsia="Calibri" w:hAnsi="Times New Roman" w:cs="Times New Roman"/>
          <w:sz w:val="28"/>
          <w:szCs w:val="28"/>
        </w:rPr>
        <w:t>перiод</w:t>
      </w:r>
      <w:proofErr w:type="spellEnd"/>
      <w:r w:rsidRPr="0090593A">
        <w:rPr>
          <w:rFonts w:ascii="Times New Roman" w:eastAsia="Calibri" w:hAnsi="Times New Roman" w:cs="Times New Roman"/>
          <w:sz w:val="28"/>
          <w:szCs w:val="28"/>
        </w:rPr>
        <w:t xml:space="preserve"> до 2030 року на засадах принципу </w:t>
      </w:r>
      <w:r w:rsidRPr="0090593A">
        <w:rPr>
          <w:rFonts w:ascii="Times New Roman" w:eastAsia="Calibri" w:hAnsi="Times New Roman" w:cs="Times New Roman"/>
          <w:b/>
          <w:bCs/>
          <w:sz w:val="28"/>
          <w:szCs w:val="28"/>
        </w:rPr>
        <w:t>«</w:t>
      </w:r>
      <w:proofErr w:type="spellStart"/>
      <w:r w:rsidRPr="0090593A">
        <w:rPr>
          <w:rFonts w:ascii="Times New Roman" w:eastAsia="Calibri" w:hAnsi="Times New Roman" w:cs="Times New Roman"/>
          <w:b/>
          <w:bCs/>
          <w:sz w:val="28"/>
          <w:szCs w:val="28"/>
        </w:rPr>
        <w:t>Нiкого</w:t>
      </w:r>
      <w:proofErr w:type="spellEnd"/>
      <w:r w:rsidRPr="0090593A">
        <w:rPr>
          <w:rFonts w:ascii="Times New Roman" w:eastAsia="Calibri" w:hAnsi="Times New Roman" w:cs="Times New Roman"/>
          <w:b/>
          <w:bCs/>
          <w:sz w:val="28"/>
          <w:szCs w:val="28"/>
        </w:rPr>
        <w:t xml:space="preserve"> не залишити осторонь»</w:t>
      </w:r>
      <w:r w:rsidRPr="0090593A">
        <w:rPr>
          <w:rFonts w:ascii="Times New Roman" w:eastAsia="Calibri" w:hAnsi="Times New Roman" w:cs="Times New Roman"/>
          <w:sz w:val="28"/>
          <w:szCs w:val="28"/>
        </w:rPr>
        <w:t xml:space="preserve"> було започатковано інклюзивний процес адаптації Цілей сталого розвитку. Кожну глобальну ціль було розглянуто з урахуванням специфіки національного розвитку. Протягом 2016-го року в Україні було проведено низку національних (4) та регіональних (10) консультацій. За результатами консультацій можна зробити висновок, що національні ЦСР слугуватимуть основою для інтеграції зусиль, спрямованих на забезпечення економічного зростання, соціальної </w:t>
      </w:r>
      <w:r w:rsidRPr="0090593A">
        <w:rPr>
          <w:rFonts w:ascii="Times New Roman" w:eastAsia="Calibri" w:hAnsi="Times New Roman" w:cs="Times New Roman"/>
          <w:sz w:val="28"/>
          <w:szCs w:val="28"/>
        </w:rPr>
        <w:lastRenderedPageBreak/>
        <w:t xml:space="preserve">справедливості та раціонального природокористування. До процесу визначення національних ЦСР долучилося понад 800 фахівців за напрямами, що відповідають тематичним сферам ЦСР, урядовці, управлінці, спеціалісти установ ООН, дипломати, науковці, економісти, демографи, медичні працівники, епідеміологи, екологи, освітяни, журналісти, підприємці, лідери недержавних організацій та інші представники громадянського суспільства. Процес визначення завдань Цілей сталого розвитку та встановлення базового </w:t>
      </w:r>
      <w:proofErr w:type="spellStart"/>
      <w:r w:rsidRPr="0090593A">
        <w:rPr>
          <w:rFonts w:ascii="Times New Roman" w:eastAsia="Calibri" w:hAnsi="Times New Roman" w:cs="Times New Roman"/>
          <w:sz w:val="28"/>
          <w:szCs w:val="28"/>
        </w:rPr>
        <w:t>рiвня</w:t>
      </w:r>
      <w:proofErr w:type="spellEnd"/>
      <w:r w:rsidRPr="0090593A">
        <w:rPr>
          <w:rFonts w:ascii="Times New Roman" w:eastAsia="Calibri" w:hAnsi="Times New Roman" w:cs="Times New Roman"/>
          <w:sz w:val="28"/>
          <w:szCs w:val="28"/>
        </w:rPr>
        <w:t xml:space="preserve"> для </w:t>
      </w:r>
      <w:proofErr w:type="spellStart"/>
      <w:r w:rsidRPr="0090593A">
        <w:rPr>
          <w:rFonts w:ascii="Times New Roman" w:eastAsia="Calibri" w:hAnsi="Times New Roman" w:cs="Times New Roman"/>
          <w:sz w:val="28"/>
          <w:szCs w:val="28"/>
        </w:rPr>
        <w:t>органiзацiї</w:t>
      </w:r>
      <w:proofErr w:type="spellEnd"/>
      <w:r w:rsidRPr="0090593A">
        <w:rPr>
          <w:rFonts w:ascii="Times New Roman" w:eastAsia="Calibri" w:hAnsi="Times New Roman" w:cs="Times New Roman"/>
          <w:sz w:val="28"/>
          <w:szCs w:val="28"/>
        </w:rPr>
        <w:t xml:space="preserve"> подальшого </w:t>
      </w:r>
      <w:proofErr w:type="spellStart"/>
      <w:r w:rsidRPr="0090593A">
        <w:rPr>
          <w:rFonts w:ascii="Times New Roman" w:eastAsia="Calibri" w:hAnsi="Times New Roman" w:cs="Times New Roman"/>
          <w:sz w:val="28"/>
          <w:szCs w:val="28"/>
        </w:rPr>
        <w:t>монiторингу</w:t>
      </w:r>
      <w:proofErr w:type="spellEnd"/>
      <w:r w:rsidRPr="0090593A">
        <w:rPr>
          <w:rFonts w:ascii="Times New Roman" w:eastAsia="Calibri" w:hAnsi="Times New Roman" w:cs="Times New Roman"/>
          <w:sz w:val="28"/>
          <w:szCs w:val="28"/>
        </w:rPr>
        <w:t xml:space="preserve"> започаткував національний дискурс щодо вимірювання суспільного прогресу у цілому та удосконалення системи національної статистики.</w:t>
      </w:r>
    </w:p>
    <w:p w14:paraId="402C0A2B"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proofErr w:type="spellStart"/>
      <w:r w:rsidRPr="0090593A">
        <w:rPr>
          <w:rFonts w:ascii="Times New Roman" w:eastAsia="Calibri" w:hAnsi="Times New Roman" w:cs="Times New Roman"/>
          <w:b/>
          <w:bCs/>
          <w:sz w:val="28"/>
          <w:szCs w:val="28"/>
        </w:rPr>
        <w:t>Global</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Reporting</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Initiative</w:t>
      </w:r>
      <w:proofErr w:type="spellEnd"/>
      <w:r w:rsidRPr="0090593A">
        <w:rPr>
          <w:rFonts w:ascii="Times New Roman" w:eastAsia="Calibri" w:hAnsi="Times New Roman" w:cs="Times New Roman"/>
          <w:b/>
          <w:bCs/>
          <w:sz w:val="28"/>
          <w:szCs w:val="28"/>
        </w:rPr>
        <w:t xml:space="preserve"> (GRI):</w:t>
      </w:r>
    </w:p>
    <w:p w14:paraId="748EDCF9"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Область застосування: GRI розробляє стандарти звітності щодо сталого розвитку, які дозволяють компаніям повідомляти про їх вплив на навколишнє середовище, соціальні аспекти та управління.</w:t>
      </w:r>
    </w:p>
    <w:p w14:paraId="27C035FE"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Структура: Стандарт GRI складається з рядів стандартів, що забезпечують узгоджений та всебічний підхід до звітності залишку в різних галузях, таких як довкілля, права людини, трудові стандарти та ін.</w:t>
      </w:r>
    </w:p>
    <w:p w14:paraId="13E41CBB"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Зобов'язання: Підтримка та використання стандартів GRI дозволяє компаніям підвищити прозорість та порівнянність своєї звітності щодо сталого розвитку.</w:t>
      </w:r>
    </w:p>
    <w:p w14:paraId="6EA264A2"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 xml:space="preserve">Стандарти звітності </w:t>
      </w:r>
      <w:proofErr w:type="spellStart"/>
      <w:r w:rsidRPr="0090593A">
        <w:rPr>
          <w:rFonts w:ascii="Times New Roman" w:eastAsia="Calibri" w:hAnsi="Times New Roman" w:cs="Times New Roman"/>
          <w:sz w:val="28"/>
          <w:szCs w:val="28"/>
        </w:rPr>
        <w:t>Global</w:t>
      </w:r>
      <w:proofErr w:type="spellEnd"/>
      <w:r w:rsidRPr="0090593A">
        <w:rPr>
          <w:rFonts w:ascii="Times New Roman" w:eastAsia="Calibri" w:hAnsi="Times New Roman" w:cs="Times New Roman"/>
          <w:sz w:val="28"/>
          <w:szCs w:val="28"/>
        </w:rPr>
        <w:t xml:space="preserve"> </w:t>
      </w:r>
      <w:proofErr w:type="spellStart"/>
      <w:r w:rsidRPr="0090593A">
        <w:rPr>
          <w:rFonts w:ascii="Times New Roman" w:eastAsia="Calibri" w:hAnsi="Times New Roman" w:cs="Times New Roman"/>
          <w:sz w:val="28"/>
          <w:szCs w:val="28"/>
        </w:rPr>
        <w:t>Reporting</w:t>
      </w:r>
      <w:proofErr w:type="spellEnd"/>
      <w:r w:rsidRPr="0090593A">
        <w:rPr>
          <w:rFonts w:ascii="Times New Roman" w:eastAsia="Calibri" w:hAnsi="Times New Roman" w:cs="Times New Roman"/>
          <w:sz w:val="28"/>
          <w:szCs w:val="28"/>
        </w:rPr>
        <w:t xml:space="preserve"> </w:t>
      </w:r>
      <w:proofErr w:type="spellStart"/>
      <w:r w:rsidRPr="0090593A">
        <w:rPr>
          <w:rFonts w:ascii="Times New Roman" w:eastAsia="Calibri" w:hAnsi="Times New Roman" w:cs="Times New Roman"/>
          <w:sz w:val="28"/>
          <w:szCs w:val="28"/>
        </w:rPr>
        <w:t>Initiative</w:t>
      </w:r>
      <w:proofErr w:type="spellEnd"/>
      <w:r w:rsidRPr="0090593A">
        <w:rPr>
          <w:rFonts w:ascii="Times New Roman" w:eastAsia="Calibri" w:hAnsi="Times New Roman" w:cs="Times New Roman"/>
          <w:sz w:val="28"/>
          <w:szCs w:val="28"/>
        </w:rPr>
        <w:t xml:space="preserve"> (GRI) є набір принципів, стандартів та посібників зі звітності залишку, які допомагають організаціям вимірювати, керувати та доповідати про свій вплив на навколишнє середовище, соціальні аспекти та управління. Ось детальний опис основних компонентів стандартів GRI:</w:t>
      </w:r>
    </w:p>
    <w:p w14:paraId="66FB943C"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 xml:space="preserve">GRI </w:t>
      </w:r>
      <w:proofErr w:type="spellStart"/>
      <w:r w:rsidRPr="0090593A">
        <w:rPr>
          <w:rFonts w:ascii="Times New Roman" w:eastAsia="Calibri" w:hAnsi="Times New Roman" w:cs="Times New Roman"/>
          <w:b/>
          <w:bCs/>
          <w:sz w:val="28"/>
          <w:szCs w:val="28"/>
        </w:rPr>
        <w:t>Standards</w:t>
      </w:r>
      <w:proofErr w:type="spellEnd"/>
      <w:r w:rsidRPr="0090593A">
        <w:rPr>
          <w:rFonts w:ascii="Times New Roman" w:eastAsia="Calibri" w:hAnsi="Times New Roman" w:cs="Times New Roman"/>
          <w:b/>
          <w:bCs/>
          <w:sz w:val="28"/>
          <w:szCs w:val="28"/>
        </w:rPr>
        <w:t xml:space="preserve"> (Стандарти звітності):</w:t>
      </w:r>
      <w:r w:rsidRPr="0090593A">
        <w:rPr>
          <w:rFonts w:ascii="Times New Roman" w:eastAsia="Calibri" w:hAnsi="Times New Roman" w:cs="Times New Roman"/>
          <w:sz w:val="28"/>
          <w:szCs w:val="28"/>
        </w:rPr>
        <w:t xml:space="preserve"> Це основний компонент стандартів GRI. Вони є комплексним набором інструкцій та рекомендацій для звітності з різних аспектів сталого розвитку. Ці стандарти включають секції про стратегію та аналіз, організаційні характеристики, тематичні аспекти (наприклад, вплив на навколишнє середовище, трудові практики, чесність і прозорість) та ін.</w:t>
      </w:r>
    </w:p>
    <w:p w14:paraId="5C72A586"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proofErr w:type="spellStart"/>
      <w:r w:rsidRPr="0090593A">
        <w:rPr>
          <w:rFonts w:ascii="Times New Roman" w:eastAsia="Calibri" w:hAnsi="Times New Roman" w:cs="Times New Roman"/>
          <w:b/>
          <w:bCs/>
          <w:sz w:val="28"/>
          <w:szCs w:val="28"/>
        </w:rPr>
        <w:t>Principles</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for</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Defining</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Report</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Content</w:t>
      </w:r>
      <w:proofErr w:type="spellEnd"/>
      <w:r w:rsidRPr="0090593A">
        <w:rPr>
          <w:rFonts w:ascii="Times New Roman" w:eastAsia="Calibri" w:hAnsi="Times New Roman" w:cs="Times New Roman"/>
          <w:b/>
          <w:bCs/>
          <w:sz w:val="28"/>
          <w:szCs w:val="28"/>
        </w:rPr>
        <w:t xml:space="preserve"> (Принципи звітності):</w:t>
      </w:r>
      <w:r w:rsidRPr="0090593A">
        <w:rPr>
          <w:rFonts w:ascii="Times New Roman" w:eastAsia="Calibri" w:hAnsi="Times New Roman" w:cs="Times New Roman"/>
          <w:sz w:val="28"/>
          <w:szCs w:val="28"/>
        </w:rPr>
        <w:t xml:space="preserve"> Ці принципи визначають область змісту звітності, необхідну для подання достовірної та всебічної інформації. Вони включають принципи включення всіх матеріальних тем, комплексності, контексту, </w:t>
      </w:r>
      <w:proofErr w:type="spellStart"/>
      <w:r w:rsidRPr="0090593A">
        <w:rPr>
          <w:rFonts w:ascii="Times New Roman" w:eastAsia="Calibri" w:hAnsi="Times New Roman" w:cs="Times New Roman"/>
          <w:sz w:val="28"/>
          <w:szCs w:val="28"/>
        </w:rPr>
        <w:t>стейкхолдерського</w:t>
      </w:r>
      <w:proofErr w:type="spellEnd"/>
      <w:r w:rsidRPr="0090593A">
        <w:rPr>
          <w:rFonts w:ascii="Times New Roman" w:eastAsia="Calibri" w:hAnsi="Times New Roman" w:cs="Times New Roman"/>
          <w:sz w:val="28"/>
          <w:szCs w:val="28"/>
        </w:rPr>
        <w:t xml:space="preserve"> відношення та ін.</w:t>
      </w:r>
    </w:p>
    <w:p w14:paraId="3544FCD1"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 xml:space="preserve">GRI </w:t>
      </w:r>
      <w:proofErr w:type="spellStart"/>
      <w:r w:rsidRPr="0090593A">
        <w:rPr>
          <w:rFonts w:ascii="Times New Roman" w:eastAsia="Calibri" w:hAnsi="Times New Roman" w:cs="Times New Roman"/>
          <w:b/>
          <w:bCs/>
          <w:sz w:val="28"/>
          <w:szCs w:val="28"/>
        </w:rPr>
        <w:t>Implementation</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Manual</w:t>
      </w:r>
      <w:proofErr w:type="spellEnd"/>
      <w:r w:rsidRPr="0090593A">
        <w:rPr>
          <w:rFonts w:ascii="Times New Roman" w:eastAsia="Calibri" w:hAnsi="Times New Roman" w:cs="Times New Roman"/>
          <w:b/>
          <w:bCs/>
          <w:sz w:val="28"/>
          <w:szCs w:val="28"/>
        </w:rPr>
        <w:t xml:space="preserve"> (Керівні принципи):</w:t>
      </w:r>
      <w:r w:rsidRPr="0090593A">
        <w:rPr>
          <w:rFonts w:ascii="Times New Roman" w:eastAsia="Calibri" w:hAnsi="Times New Roman" w:cs="Times New Roman"/>
          <w:sz w:val="28"/>
          <w:szCs w:val="28"/>
        </w:rPr>
        <w:t xml:space="preserve"> Цей посібник описує процес застосування стандартів GRI у практичному контексті. Воно включає в себе інформацію про вибір показників, здійснення процесу звітності та підготовку звіту залишку.</w:t>
      </w:r>
    </w:p>
    <w:p w14:paraId="32A3B06C"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 xml:space="preserve">GRI </w:t>
      </w:r>
      <w:proofErr w:type="spellStart"/>
      <w:r w:rsidRPr="0090593A">
        <w:rPr>
          <w:rFonts w:ascii="Times New Roman" w:eastAsia="Calibri" w:hAnsi="Times New Roman" w:cs="Times New Roman"/>
          <w:b/>
          <w:bCs/>
          <w:sz w:val="28"/>
          <w:szCs w:val="28"/>
        </w:rPr>
        <w:t>Support</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Suit</w:t>
      </w:r>
      <w:proofErr w:type="spellEnd"/>
      <w:r w:rsidRPr="0090593A">
        <w:rPr>
          <w:rFonts w:ascii="Times New Roman" w:eastAsia="Calibri" w:hAnsi="Times New Roman" w:cs="Times New Roman"/>
          <w:b/>
          <w:bCs/>
          <w:sz w:val="28"/>
          <w:szCs w:val="28"/>
        </w:rPr>
        <w:t xml:space="preserve"> (Підтримка та інструменти):</w:t>
      </w:r>
      <w:r w:rsidRPr="0090593A">
        <w:rPr>
          <w:rFonts w:ascii="Times New Roman" w:eastAsia="Calibri" w:hAnsi="Times New Roman" w:cs="Times New Roman"/>
          <w:sz w:val="28"/>
          <w:szCs w:val="28"/>
        </w:rPr>
        <w:t xml:space="preserve"> GRI надає низку інструментів та ресурсів для допомоги компаніям у процесі звітності, включаючи онлайн-платформи, довідкові матеріали, зразки звітів, навчальні курси та ін.</w:t>
      </w:r>
    </w:p>
    <w:p w14:paraId="4CB3F88C"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 xml:space="preserve">Стандарти GRI розроблені з урахуванням міжнародних принципів, включаючи принципи </w:t>
      </w:r>
      <w:proofErr w:type="spellStart"/>
      <w:r w:rsidRPr="0090593A">
        <w:rPr>
          <w:rFonts w:ascii="Times New Roman" w:eastAsia="Calibri" w:hAnsi="Times New Roman" w:cs="Times New Roman"/>
          <w:sz w:val="28"/>
          <w:szCs w:val="28"/>
        </w:rPr>
        <w:t>стейкхолдерської</w:t>
      </w:r>
      <w:proofErr w:type="spellEnd"/>
      <w:r w:rsidRPr="0090593A">
        <w:rPr>
          <w:rFonts w:ascii="Times New Roman" w:eastAsia="Calibri" w:hAnsi="Times New Roman" w:cs="Times New Roman"/>
          <w:sz w:val="28"/>
          <w:szCs w:val="28"/>
        </w:rPr>
        <w:t xml:space="preserve"> участі, прозорості, несуперечності та комплексності. Вони спрямовані на забезпечення достовірної та всебічної звітності, яка допомагає зацікавленим сторонам зрозуміти вплив організації на сталий розвиток.</w:t>
      </w:r>
    </w:p>
    <w:p w14:paraId="2F53007B"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lastRenderedPageBreak/>
        <w:t>Компанії можуть використовувати стандарти GRI для розробки своїх звітів залишку, демонструючи своє зобов'язання до сталого розвитку та підвищуючи свою прозорість та довіру у заінтересованих сторін.</w:t>
      </w:r>
    </w:p>
    <w:p w14:paraId="1E463E8F"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proofErr w:type="spellStart"/>
      <w:r w:rsidRPr="0090593A">
        <w:rPr>
          <w:rFonts w:ascii="Times New Roman" w:eastAsia="Calibri" w:hAnsi="Times New Roman" w:cs="Times New Roman"/>
          <w:b/>
          <w:bCs/>
          <w:sz w:val="28"/>
          <w:szCs w:val="28"/>
        </w:rPr>
        <w:t>Sustainability</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Accounting</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Standards</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Board</w:t>
      </w:r>
      <w:proofErr w:type="spellEnd"/>
      <w:r w:rsidRPr="0090593A">
        <w:rPr>
          <w:rFonts w:ascii="Times New Roman" w:eastAsia="Calibri" w:hAnsi="Times New Roman" w:cs="Times New Roman"/>
          <w:b/>
          <w:bCs/>
          <w:sz w:val="28"/>
          <w:szCs w:val="28"/>
        </w:rPr>
        <w:t xml:space="preserve"> (SASB)</w:t>
      </w:r>
    </w:p>
    <w:p w14:paraId="07DABF8E"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proofErr w:type="spellStart"/>
      <w:r w:rsidRPr="0090593A">
        <w:rPr>
          <w:rFonts w:ascii="Times New Roman" w:eastAsia="Calibri" w:hAnsi="Times New Roman" w:cs="Times New Roman"/>
          <w:sz w:val="28"/>
          <w:szCs w:val="28"/>
        </w:rPr>
        <w:t>Sustainability</w:t>
      </w:r>
      <w:proofErr w:type="spellEnd"/>
      <w:r w:rsidRPr="0090593A">
        <w:rPr>
          <w:rFonts w:ascii="Times New Roman" w:eastAsia="Calibri" w:hAnsi="Times New Roman" w:cs="Times New Roman"/>
          <w:sz w:val="28"/>
          <w:szCs w:val="28"/>
        </w:rPr>
        <w:t xml:space="preserve"> </w:t>
      </w:r>
      <w:proofErr w:type="spellStart"/>
      <w:r w:rsidRPr="0090593A">
        <w:rPr>
          <w:rFonts w:ascii="Times New Roman" w:eastAsia="Calibri" w:hAnsi="Times New Roman" w:cs="Times New Roman"/>
          <w:sz w:val="28"/>
          <w:szCs w:val="28"/>
        </w:rPr>
        <w:t>Accounting</w:t>
      </w:r>
      <w:proofErr w:type="spellEnd"/>
      <w:r w:rsidRPr="0090593A">
        <w:rPr>
          <w:rFonts w:ascii="Times New Roman" w:eastAsia="Calibri" w:hAnsi="Times New Roman" w:cs="Times New Roman"/>
          <w:sz w:val="28"/>
          <w:szCs w:val="28"/>
        </w:rPr>
        <w:t xml:space="preserve"> </w:t>
      </w:r>
      <w:proofErr w:type="spellStart"/>
      <w:r w:rsidRPr="0090593A">
        <w:rPr>
          <w:rFonts w:ascii="Times New Roman" w:eastAsia="Calibri" w:hAnsi="Times New Roman" w:cs="Times New Roman"/>
          <w:sz w:val="28"/>
          <w:szCs w:val="28"/>
        </w:rPr>
        <w:t>Standards</w:t>
      </w:r>
      <w:proofErr w:type="spellEnd"/>
      <w:r w:rsidRPr="0090593A">
        <w:rPr>
          <w:rFonts w:ascii="Times New Roman" w:eastAsia="Calibri" w:hAnsi="Times New Roman" w:cs="Times New Roman"/>
          <w:sz w:val="28"/>
          <w:szCs w:val="28"/>
        </w:rPr>
        <w:t xml:space="preserve"> </w:t>
      </w:r>
      <w:proofErr w:type="spellStart"/>
      <w:r w:rsidRPr="0090593A">
        <w:rPr>
          <w:rFonts w:ascii="Times New Roman" w:eastAsia="Calibri" w:hAnsi="Times New Roman" w:cs="Times New Roman"/>
          <w:sz w:val="28"/>
          <w:szCs w:val="28"/>
        </w:rPr>
        <w:t>Board</w:t>
      </w:r>
      <w:proofErr w:type="spellEnd"/>
      <w:r w:rsidRPr="0090593A">
        <w:rPr>
          <w:rFonts w:ascii="Times New Roman" w:eastAsia="Calibri" w:hAnsi="Times New Roman" w:cs="Times New Roman"/>
          <w:sz w:val="28"/>
          <w:szCs w:val="28"/>
        </w:rPr>
        <w:t xml:space="preserve"> (SASB) - це незалежна організація, яка розробляє стандарти для обліку та звітування сталого розвитку (ESG) з урахуванням фінансових показників. Стандарти SASB охоплюють широкий спектр галузей та секторів економіки і надають конкретні вказівки щодо того, які показники ESG повинні бути включені в фінансові звіти компаній для кожного конкретного сектора.</w:t>
      </w:r>
    </w:p>
    <w:p w14:paraId="6DF368A0"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Область застосування:</w:t>
      </w:r>
      <w:r w:rsidRPr="0090593A">
        <w:rPr>
          <w:rFonts w:ascii="Times New Roman" w:eastAsia="Calibri" w:hAnsi="Times New Roman" w:cs="Times New Roman"/>
          <w:sz w:val="28"/>
          <w:szCs w:val="28"/>
        </w:rPr>
        <w:t xml:space="preserve"> Стандарти SASB охоплюють широкий спектр секторів і галузей, включаючи, але не обмежуючись, фінансовий сектор, енергетику, транспорт, технології, охорону здоров'я та інші. Кожна галузь має власний набір стандартів, які враховують специфіку її діяльності та впливу на сталий розвиток.</w:t>
      </w:r>
    </w:p>
    <w:p w14:paraId="2E01AB40"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Зобов'язання:</w:t>
      </w:r>
      <w:r w:rsidRPr="0090593A">
        <w:rPr>
          <w:rFonts w:ascii="Times New Roman" w:eastAsia="Calibri" w:hAnsi="Times New Roman" w:cs="Times New Roman"/>
          <w:sz w:val="28"/>
          <w:szCs w:val="28"/>
        </w:rPr>
        <w:t xml:space="preserve"> SASB зобов'язує підприємства звітувати про свою діяльність з огляду на ключові екологічні, соціальні та управлінські аспекти, які є суттєвими для їх сектору та діяльності. Це допомагає інвесторам та зацікавленим сторонам краще розуміти вплив компанії на сталий розвиток.</w:t>
      </w:r>
    </w:p>
    <w:p w14:paraId="11138A19"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Структура:</w:t>
      </w:r>
      <w:r w:rsidRPr="0090593A">
        <w:rPr>
          <w:rFonts w:ascii="Times New Roman" w:eastAsia="Calibri" w:hAnsi="Times New Roman" w:cs="Times New Roman"/>
          <w:sz w:val="28"/>
          <w:szCs w:val="28"/>
        </w:rPr>
        <w:t xml:space="preserve"> Стандарти SASB складаються з ряду тематичних розділів, кожен з яких включає конкретні метрики та рекомендації щодо звітування. Кожна тематика охоплює ключові аспекти сталого розвитку, такі як викиди парникових газів, </w:t>
      </w:r>
      <w:proofErr w:type="spellStart"/>
      <w:r w:rsidRPr="0090593A">
        <w:rPr>
          <w:rFonts w:ascii="Times New Roman" w:eastAsia="Calibri" w:hAnsi="Times New Roman" w:cs="Times New Roman"/>
          <w:sz w:val="28"/>
          <w:szCs w:val="28"/>
        </w:rPr>
        <w:t>водозбереження</w:t>
      </w:r>
      <w:proofErr w:type="spellEnd"/>
      <w:r w:rsidRPr="0090593A">
        <w:rPr>
          <w:rFonts w:ascii="Times New Roman" w:eastAsia="Calibri" w:hAnsi="Times New Roman" w:cs="Times New Roman"/>
          <w:sz w:val="28"/>
          <w:szCs w:val="28"/>
        </w:rPr>
        <w:t>, працівників та права людини, безпека та управління ризиками.</w:t>
      </w:r>
    </w:p>
    <w:p w14:paraId="35A59E60"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Загальний принцип SASB полягає у впровадженні стандартів, які дозволяють підприємствам звітувати про свою діяльність з позицій сталого розвитку у такий спосіб, щоб ця інформація була корисною для інвесторів, регуляторів та інших зацікавлених сторін.</w:t>
      </w:r>
    </w:p>
    <w:p w14:paraId="2DB992AE"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r w:rsidRPr="0090593A">
        <w:rPr>
          <w:rFonts w:ascii="Times New Roman" w:eastAsia="Calibri" w:hAnsi="Times New Roman" w:cs="Times New Roman"/>
          <w:b/>
          <w:bCs/>
          <w:sz w:val="28"/>
          <w:szCs w:val="28"/>
        </w:rPr>
        <w:t>Основні характеристики стандартів SASB для ESG включають:</w:t>
      </w:r>
    </w:p>
    <w:p w14:paraId="433CF3D4"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Секторальний підхід:</w:t>
      </w:r>
      <w:r w:rsidRPr="0090593A">
        <w:rPr>
          <w:rFonts w:ascii="Times New Roman" w:eastAsia="Calibri" w:hAnsi="Times New Roman" w:cs="Times New Roman"/>
          <w:sz w:val="28"/>
          <w:szCs w:val="28"/>
        </w:rPr>
        <w:t xml:space="preserve"> Стандарти SASB розроблені з урахуванням специфіки кожного окремого сектора економіки. Наприклад, стандарти для сектора енергетики можуть відрізнятися від стандартів для сектора фінансових послуг або сектора харчової промисловості.</w:t>
      </w:r>
    </w:p>
    <w:p w14:paraId="1462E4F5"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Ключові показники:</w:t>
      </w:r>
      <w:r w:rsidRPr="0090593A">
        <w:rPr>
          <w:rFonts w:ascii="Times New Roman" w:eastAsia="Calibri" w:hAnsi="Times New Roman" w:cs="Times New Roman"/>
          <w:sz w:val="28"/>
          <w:szCs w:val="28"/>
        </w:rPr>
        <w:t xml:space="preserve"> SASB визначає ключові показники ESG для кожного сектора, які відображають важливість тих аспектів сталого розвитку, які найбільше впливають на фінансову продуктивність і ризики.</w:t>
      </w:r>
    </w:p>
    <w:p w14:paraId="30F655C9"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Фінансова важливість:</w:t>
      </w:r>
      <w:r w:rsidRPr="0090593A">
        <w:rPr>
          <w:rFonts w:ascii="Times New Roman" w:eastAsia="Calibri" w:hAnsi="Times New Roman" w:cs="Times New Roman"/>
          <w:sz w:val="28"/>
          <w:szCs w:val="28"/>
        </w:rPr>
        <w:t xml:space="preserve"> Стандарти SASB ставлять фінансові показники в центр уваги, визначаючи, як вплив ESG може мати ефект на фінансовий результат та стабільність компанії.</w:t>
      </w:r>
    </w:p>
    <w:p w14:paraId="7545BE22"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Достовірність та прозорість:</w:t>
      </w:r>
      <w:r w:rsidRPr="0090593A">
        <w:rPr>
          <w:rFonts w:ascii="Times New Roman" w:eastAsia="Calibri" w:hAnsi="Times New Roman" w:cs="Times New Roman"/>
          <w:sz w:val="28"/>
          <w:szCs w:val="28"/>
        </w:rPr>
        <w:t xml:space="preserve"> SASB забезпечує прозорість та достовірність шляхом розробки стандартів на основі емпіричних даних, експертної експертизи та консультацій з зацікавленими сторонами.</w:t>
      </w:r>
    </w:p>
    <w:p w14:paraId="0F9C0E73"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b/>
          <w:bCs/>
          <w:sz w:val="28"/>
          <w:szCs w:val="28"/>
        </w:rPr>
        <w:t>Гнучкість та адаптивність</w:t>
      </w:r>
      <w:r w:rsidRPr="0090593A">
        <w:rPr>
          <w:rFonts w:ascii="Times New Roman" w:eastAsia="Calibri" w:hAnsi="Times New Roman" w:cs="Times New Roman"/>
          <w:sz w:val="28"/>
          <w:szCs w:val="28"/>
        </w:rPr>
        <w:t>: Стандарти SASB призначені бути гнучкими та адаптивними до змін у секторі та розвитку сталого розвитку, щоб вони завжди відповідали потребам ринку та оновлювалися з часом.</w:t>
      </w:r>
    </w:p>
    <w:p w14:paraId="70E2FB0F"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 xml:space="preserve">Загалом, стандарти SASB створюють нормативний каркас для звітування компаніями про їхню діяльність в області ESG, що допомагає інвесторам, </w:t>
      </w:r>
      <w:r w:rsidRPr="0090593A">
        <w:rPr>
          <w:rFonts w:ascii="Times New Roman" w:eastAsia="Calibri" w:hAnsi="Times New Roman" w:cs="Times New Roman"/>
          <w:sz w:val="28"/>
          <w:szCs w:val="28"/>
        </w:rPr>
        <w:lastRenderedPageBreak/>
        <w:t>регуляторам та іншим зацікавленим сторонам краще розуміти соціальний та екологічний вплив бізнесу.</w:t>
      </w:r>
    </w:p>
    <w:p w14:paraId="2E0B68EE"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proofErr w:type="spellStart"/>
      <w:r w:rsidRPr="0090593A">
        <w:rPr>
          <w:rFonts w:ascii="Times New Roman" w:eastAsia="Calibri" w:hAnsi="Times New Roman" w:cs="Times New Roman"/>
          <w:b/>
          <w:bCs/>
          <w:sz w:val="28"/>
          <w:szCs w:val="28"/>
        </w:rPr>
        <w:t>Task</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Force</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on</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Climate-related</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Financial</w:t>
      </w:r>
      <w:proofErr w:type="spellEnd"/>
      <w:r w:rsidRPr="0090593A">
        <w:rPr>
          <w:rFonts w:ascii="Times New Roman" w:eastAsia="Calibri" w:hAnsi="Times New Roman" w:cs="Times New Roman"/>
          <w:b/>
          <w:bCs/>
          <w:sz w:val="28"/>
          <w:szCs w:val="28"/>
        </w:rPr>
        <w:t xml:space="preserve"> </w:t>
      </w:r>
      <w:proofErr w:type="spellStart"/>
      <w:r w:rsidRPr="0090593A">
        <w:rPr>
          <w:rFonts w:ascii="Times New Roman" w:eastAsia="Calibri" w:hAnsi="Times New Roman" w:cs="Times New Roman"/>
          <w:b/>
          <w:bCs/>
          <w:sz w:val="28"/>
          <w:szCs w:val="28"/>
        </w:rPr>
        <w:t>Disclosures</w:t>
      </w:r>
      <w:proofErr w:type="spellEnd"/>
      <w:r w:rsidRPr="0090593A">
        <w:rPr>
          <w:rFonts w:ascii="Times New Roman" w:eastAsia="Calibri" w:hAnsi="Times New Roman" w:cs="Times New Roman"/>
          <w:b/>
          <w:bCs/>
          <w:sz w:val="28"/>
          <w:szCs w:val="28"/>
        </w:rPr>
        <w:t xml:space="preserve"> (TCFD):</w:t>
      </w:r>
    </w:p>
    <w:p w14:paraId="06C5420A"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Область застосування: TCFD розробив рекомендації щодо розкриття інформації про фінансові аспекти, пов'язані зі зміною клімату.</w:t>
      </w:r>
    </w:p>
    <w:p w14:paraId="5883295C"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Структура: Рекомендації TCFD включають 11 рекомендацій, які охоплюють аспекти управління, стратегії, ризик-менеджменту та метрики та цілі.</w:t>
      </w:r>
    </w:p>
    <w:p w14:paraId="3AD6A350"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Зобов'язання: Підтримка та застосування рекомендацій TCFD допомагає компаніям краще розуміти та керувати ризиками та можливостями, пов'язаними зі зміною клімату.</w:t>
      </w:r>
    </w:p>
    <w:p w14:paraId="5743F553"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Кожен із цих стандартів пропонує свій унікальний набір принципів, рекомендацій та інструментів для компаній, які бажають інтегрувати ESG-аспекти у свою стратегію та практику. Залежно від конкретних цілей та потреб компанії вона може вибирати один або кілька стандартів для свого впровадження ESG.</w:t>
      </w:r>
    </w:p>
    <w:p w14:paraId="65275302"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r w:rsidRPr="0090593A">
        <w:rPr>
          <w:rFonts w:ascii="Times New Roman" w:eastAsia="Calibri" w:hAnsi="Times New Roman" w:cs="Times New Roman"/>
          <w:b/>
          <w:bCs/>
          <w:sz w:val="28"/>
          <w:szCs w:val="28"/>
        </w:rPr>
        <w:t>Управління</w:t>
      </w:r>
    </w:p>
    <w:p w14:paraId="30A8561C"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Розкрийте інформацію про управління організацією щодо ризиків і можливостей, пов’язаних із кліматом.</w:t>
      </w:r>
    </w:p>
    <w:p w14:paraId="44FC369B"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Рекомендоване розкриття інформації</w:t>
      </w:r>
    </w:p>
    <w:p w14:paraId="1AC7A842"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1. Опишіть нагляд правління за ризиками та можливостями, пов’язаними з кліматом.</w:t>
      </w:r>
    </w:p>
    <w:p w14:paraId="788EBE8B"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2. Опишіть роль керівництва в оцінці ризиків і можливостей, пов'язаних із кліматом, і управління ними.</w:t>
      </w:r>
    </w:p>
    <w:p w14:paraId="493A0BA7"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r w:rsidRPr="0090593A">
        <w:rPr>
          <w:rFonts w:ascii="Times New Roman" w:eastAsia="Calibri" w:hAnsi="Times New Roman" w:cs="Times New Roman"/>
          <w:b/>
          <w:bCs/>
          <w:sz w:val="28"/>
          <w:szCs w:val="28"/>
        </w:rPr>
        <w:t>Стратегія</w:t>
      </w:r>
    </w:p>
    <w:p w14:paraId="52DDDCE2"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Розкрийте фактичний і потенційний вплив кліматичних ризиків і можливостей на бізнес, стратегію та фінансове планування організації, якщо така інформація є суттєвою.</w:t>
      </w:r>
    </w:p>
    <w:p w14:paraId="246FB46D"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Рекомендоване розкриття інформації</w:t>
      </w:r>
    </w:p>
    <w:p w14:paraId="6C6989C5"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3. Опишіть пов'язані з кліматом ризики та можливості, які організація виявила в короткостроковій, середньостроковій та довгостроковій перспективі.</w:t>
      </w:r>
    </w:p>
    <w:p w14:paraId="27D7320B"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4. Опишіть вплив кліматичних ризиків і можливостей на бізнес, стратегію та фінансове планування організації.</w:t>
      </w:r>
    </w:p>
    <w:p w14:paraId="05A7A3FF"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5. Опишіть стійкість стратегії організації, беручи до уваги різні сценарії, пов’язані з кліматом, включаючи сценарій 2°C або нижче.</w:t>
      </w:r>
    </w:p>
    <w:p w14:paraId="5A11A06D"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r w:rsidRPr="0090593A">
        <w:rPr>
          <w:rFonts w:ascii="Times New Roman" w:eastAsia="Calibri" w:hAnsi="Times New Roman" w:cs="Times New Roman"/>
          <w:b/>
          <w:bCs/>
          <w:sz w:val="28"/>
          <w:szCs w:val="28"/>
        </w:rPr>
        <w:t>Управління ризиками</w:t>
      </w:r>
    </w:p>
    <w:p w14:paraId="71444CF6"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Розкрийте, як організація виявляє, оцінює та управляє ризиками, пов’язаними з кліматом.</w:t>
      </w:r>
    </w:p>
    <w:p w14:paraId="644971A0"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Рекомендоване розкриття інформації</w:t>
      </w:r>
    </w:p>
    <w:p w14:paraId="7098F57E"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6. Опишіть процеси організації для виявлення та оцінки ризиків, пов’язаних із кліматом.</w:t>
      </w:r>
    </w:p>
    <w:p w14:paraId="370ED1F8"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7. Опишіть процеси організації для управління ризиками, пов’язаними з кліматом.</w:t>
      </w:r>
    </w:p>
    <w:p w14:paraId="4E99DFD9"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8. Опишіть, як процеси ідентифікації, оцінки та управління ризиками, пов’язаними з кліматом, інтегруються в загальне управління ризиками організації.</w:t>
      </w:r>
    </w:p>
    <w:p w14:paraId="6A2DDC74" w14:textId="77777777" w:rsidR="0090593A" w:rsidRPr="0090593A" w:rsidRDefault="0090593A" w:rsidP="0090593A">
      <w:pPr>
        <w:spacing w:after="0" w:line="240" w:lineRule="auto"/>
        <w:ind w:firstLine="567"/>
        <w:jc w:val="both"/>
        <w:rPr>
          <w:rFonts w:ascii="Times New Roman" w:eastAsia="Calibri" w:hAnsi="Times New Roman" w:cs="Times New Roman"/>
          <w:b/>
          <w:bCs/>
          <w:sz w:val="28"/>
          <w:szCs w:val="28"/>
        </w:rPr>
      </w:pPr>
      <w:r w:rsidRPr="0090593A">
        <w:rPr>
          <w:rFonts w:ascii="Times New Roman" w:eastAsia="Calibri" w:hAnsi="Times New Roman" w:cs="Times New Roman"/>
          <w:b/>
          <w:bCs/>
          <w:sz w:val="28"/>
          <w:szCs w:val="28"/>
        </w:rPr>
        <w:t>Показники та цілі</w:t>
      </w:r>
    </w:p>
    <w:p w14:paraId="7C6F3A09"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lastRenderedPageBreak/>
        <w:t>Розкрийте показники та цілі, які використовуються для оцінки та управління відповідними кліматичними ризиками та можливостями, якщо така інформація є суттєвою.</w:t>
      </w:r>
    </w:p>
    <w:p w14:paraId="52126913"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Рекомендоване розкриття інформації</w:t>
      </w:r>
    </w:p>
    <w:p w14:paraId="2755D6D8"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9. Розкрийте показники, які використовує організація для оцінки ризиків і можливостей, пов’язаних із кліматом, відповідно до її стратегії та процесу управління ризиками.</w:t>
      </w:r>
    </w:p>
    <w:p w14:paraId="231FE740" w14:textId="77777777" w:rsidR="0090593A" w:rsidRPr="0090593A"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10. Розкрийте обсяг 1, обсяг 2 і, якщо доречно, обсяг 3 викидів парникових газів (ПГ) і відповідні ризики.</w:t>
      </w:r>
    </w:p>
    <w:p w14:paraId="19F7405E" w14:textId="461EC5E1" w:rsidR="0090593A" w:rsidRPr="000D7329" w:rsidRDefault="0090593A" w:rsidP="0090593A">
      <w:pPr>
        <w:spacing w:after="0" w:line="240" w:lineRule="auto"/>
        <w:ind w:firstLine="567"/>
        <w:jc w:val="both"/>
        <w:rPr>
          <w:rFonts w:ascii="Times New Roman" w:eastAsia="Calibri" w:hAnsi="Times New Roman" w:cs="Times New Roman"/>
          <w:sz w:val="28"/>
          <w:szCs w:val="28"/>
        </w:rPr>
      </w:pPr>
      <w:r w:rsidRPr="0090593A">
        <w:rPr>
          <w:rFonts w:ascii="Times New Roman" w:eastAsia="Calibri" w:hAnsi="Times New Roman" w:cs="Times New Roman"/>
          <w:sz w:val="28"/>
          <w:szCs w:val="28"/>
        </w:rPr>
        <w:t>11. Опишіть цілі, які використовуються організацією для управління пов’язаними з кліматом ризиками та можливостями, а також показники щодо цілей.</w:t>
      </w:r>
    </w:p>
    <w:p w14:paraId="25CB7254" w14:textId="77777777" w:rsidR="0090593A" w:rsidRPr="000D7329" w:rsidRDefault="0090593A" w:rsidP="0090593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Добровільна та обов'язкова звітність ESG (</w:t>
      </w:r>
      <w:proofErr w:type="spellStart"/>
      <w:r w:rsidRPr="000D7329">
        <w:rPr>
          <w:rFonts w:ascii="Times New Roman" w:hAnsi="Times New Roman" w:cs="Times New Roman"/>
          <w:sz w:val="28"/>
          <w:szCs w:val="28"/>
        </w:rPr>
        <w:t>Environmental</w:t>
      </w:r>
      <w:proofErr w:type="spellEnd"/>
      <w:r w:rsidRPr="000D7329">
        <w:rPr>
          <w:rFonts w:ascii="Times New Roman" w:hAnsi="Times New Roman" w:cs="Times New Roman"/>
          <w:sz w:val="28"/>
          <w:szCs w:val="28"/>
        </w:rPr>
        <w:t xml:space="preserve">, </w:t>
      </w:r>
      <w:proofErr w:type="spellStart"/>
      <w:r w:rsidRPr="000D7329">
        <w:rPr>
          <w:rFonts w:ascii="Times New Roman" w:hAnsi="Times New Roman" w:cs="Times New Roman"/>
          <w:sz w:val="28"/>
          <w:szCs w:val="28"/>
        </w:rPr>
        <w:t>Social</w:t>
      </w:r>
      <w:proofErr w:type="spellEnd"/>
      <w:r w:rsidRPr="000D7329">
        <w:rPr>
          <w:rFonts w:ascii="Times New Roman" w:hAnsi="Times New Roman" w:cs="Times New Roman"/>
          <w:sz w:val="28"/>
          <w:szCs w:val="28"/>
        </w:rPr>
        <w:t xml:space="preserve">, </w:t>
      </w:r>
      <w:proofErr w:type="spellStart"/>
      <w:r w:rsidRPr="000D7329">
        <w:rPr>
          <w:rFonts w:ascii="Times New Roman" w:hAnsi="Times New Roman" w:cs="Times New Roman"/>
          <w:sz w:val="28"/>
          <w:szCs w:val="28"/>
        </w:rPr>
        <w:t>Governance</w:t>
      </w:r>
      <w:proofErr w:type="spellEnd"/>
      <w:r w:rsidRPr="000D7329">
        <w:rPr>
          <w:rFonts w:ascii="Times New Roman" w:hAnsi="Times New Roman" w:cs="Times New Roman"/>
          <w:sz w:val="28"/>
          <w:szCs w:val="28"/>
        </w:rPr>
        <w:t>) мають важливе значення для компаній у різних секторах та країнах. Давайте розглянемо це більш детально:</w:t>
      </w:r>
    </w:p>
    <w:p w14:paraId="08EDB711" w14:textId="77777777" w:rsidR="0090593A" w:rsidRPr="000D7329" w:rsidRDefault="0090593A" w:rsidP="0090593A">
      <w:pPr>
        <w:spacing w:after="0" w:line="240" w:lineRule="auto"/>
        <w:ind w:firstLine="567"/>
        <w:jc w:val="both"/>
        <w:rPr>
          <w:rFonts w:ascii="Times New Roman" w:hAnsi="Times New Roman" w:cs="Times New Roman"/>
          <w:b/>
          <w:bCs/>
          <w:sz w:val="28"/>
          <w:szCs w:val="28"/>
          <w:u w:val="single"/>
        </w:rPr>
      </w:pPr>
      <w:r w:rsidRPr="000D7329">
        <w:rPr>
          <w:rFonts w:ascii="Times New Roman" w:hAnsi="Times New Roman" w:cs="Times New Roman"/>
          <w:b/>
          <w:bCs/>
          <w:sz w:val="28"/>
          <w:szCs w:val="28"/>
          <w:u w:val="single"/>
        </w:rPr>
        <w:t>Добровільна звітність ESG:</w:t>
      </w:r>
    </w:p>
    <w:p w14:paraId="2294C3A5" w14:textId="77777777" w:rsidR="0090593A" w:rsidRPr="000D7329" w:rsidRDefault="0090593A" w:rsidP="0090593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b/>
          <w:bCs/>
          <w:sz w:val="28"/>
          <w:szCs w:val="28"/>
        </w:rPr>
        <w:t>Залучення інвесторів та зацікавлених сторін:</w:t>
      </w:r>
      <w:r w:rsidRPr="000D7329">
        <w:rPr>
          <w:rFonts w:ascii="Times New Roman" w:hAnsi="Times New Roman" w:cs="Times New Roman"/>
          <w:sz w:val="28"/>
          <w:szCs w:val="28"/>
        </w:rPr>
        <w:t xml:space="preserve"> Добровільна звітність ESG може бути використана компаніями як інструмент для залучення інвесторів, фондів і фондів соціальної відповідальності, які активно враховують соціальні та екологічні аспекти прийняття інвестиційних рішень.</w:t>
      </w:r>
    </w:p>
    <w:p w14:paraId="40225AD2" w14:textId="77777777" w:rsidR="0090593A" w:rsidRPr="000D7329" w:rsidRDefault="0090593A" w:rsidP="0090593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b/>
          <w:bCs/>
          <w:sz w:val="28"/>
          <w:szCs w:val="28"/>
        </w:rPr>
        <w:t>Покращення репутації та бренду:</w:t>
      </w:r>
      <w:r w:rsidRPr="000D7329">
        <w:rPr>
          <w:rFonts w:ascii="Times New Roman" w:hAnsi="Times New Roman" w:cs="Times New Roman"/>
          <w:sz w:val="28"/>
          <w:szCs w:val="28"/>
        </w:rPr>
        <w:t xml:space="preserve"> Добровільне звітування ESG може сприяти покращенню репутації компанії та підвищенню довіри зацікавлених сторін, таких як клієнти, споживачі та інші </w:t>
      </w:r>
      <w:proofErr w:type="spellStart"/>
      <w:r w:rsidRPr="000D7329">
        <w:rPr>
          <w:rFonts w:ascii="Times New Roman" w:hAnsi="Times New Roman" w:cs="Times New Roman"/>
          <w:sz w:val="28"/>
          <w:szCs w:val="28"/>
        </w:rPr>
        <w:t>стейкхолдери</w:t>
      </w:r>
      <w:proofErr w:type="spellEnd"/>
      <w:r w:rsidRPr="000D7329">
        <w:rPr>
          <w:rFonts w:ascii="Times New Roman" w:hAnsi="Times New Roman" w:cs="Times New Roman"/>
          <w:sz w:val="28"/>
          <w:szCs w:val="28"/>
        </w:rPr>
        <w:t>.</w:t>
      </w:r>
    </w:p>
    <w:p w14:paraId="010307E1" w14:textId="77777777" w:rsidR="0090593A" w:rsidRPr="000D7329" w:rsidRDefault="0090593A" w:rsidP="0090593A">
      <w:pPr>
        <w:spacing w:after="0" w:line="240" w:lineRule="auto"/>
        <w:ind w:firstLine="567"/>
        <w:jc w:val="both"/>
        <w:rPr>
          <w:rFonts w:ascii="Times New Roman" w:hAnsi="Times New Roman" w:cs="Times New Roman"/>
          <w:sz w:val="28"/>
          <w:szCs w:val="28"/>
        </w:rPr>
      </w:pPr>
      <w:proofErr w:type="spellStart"/>
      <w:r w:rsidRPr="000D7329">
        <w:rPr>
          <w:rFonts w:ascii="Times New Roman" w:hAnsi="Times New Roman" w:cs="Times New Roman"/>
          <w:b/>
          <w:bCs/>
          <w:sz w:val="28"/>
          <w:szCs w:val="28"/>
        </w:rPr>
        <w:t>Ризикоменеджмент</w:t>
      </w:r>
      <w:proofErr w:type="spellEnd"/>
      <w:r w:rsidRPr="000D7329">
        <w:rPr>
          <w:rFonts w:ascii="Times New Roman" w:hAnsi="Times New Roman" w:cs="Times New Roman"/>
          <w:b/>
          <w:bCs/>
          <w:sz w:val="28"/>
          <w:szCs w:val="28"/>
        </w:rPr>
        <w:t>:</w:t>
      </w:r>
      <w:r w:rsidRPr="000D7329">
        <w:rPr>
          <w:rFonts w:ascii="Times New Roman" w:hAnsi="Times New Roman" w:cs="Times New Roman"/>
          <w:sz w:val="28"/>
          <w:szCs w:val="28"/>
        </w:rPr>
        <w:t xml:space="preserve"> Звіти про ESG можуть допомогти компаніям ідентифікувати та управляти ризиками, пов'язаними зі змінами в законодавстві, суспільними очікуваннями та іншими факторами, що впливають на сталість бізнесу.</w:t>
      </w:r>
    </w:p>
    <w:p w14:paraId="6C51F131" w14:textId="77777777" w:rsidR="0090593A" w:rsidRPr="000D7329" w:rsidRDefault="0090593A" w:rsidP="0090593A">
      <w:pPr>
        <w:spacing w:after="0" w:line="240" w:lineRule="auto"/>
        <w:ind w:firstLine="567"/>
        <w:jc w:val="both"/>
        <w:rPr>
          <w:rFonts w:ascii="Times New Roman" w:hAnsi="Times New Roman" w:cs="Times New Roman"/>
          <w:b/>
          <w:bCs/>
          <w:sz w:val="28"/>
          <w:szCs w:val="28"/>
          <w:u w:val="single"/>
        </w:rPr>
      </w:pPr>
      <w:r w:rsidRPr="000D7329">
        <w:rPr>
          <w:rFonts w:ascii="Times New Roman" w:hAnsi="Times New Roman" w:cs="Times New Roman"/>
          <w:b/>
          <w:bCs/>
          <w:sz w:val="28"/>
          <w:szCs w:val="28"/>
          <w:u w:val="single"/>
        </w:rPr>
        <w:t>Обов'язкова звітність ESG:</w:t>
      </w:r>
    </w:p>
    <w:p w14:paraId="1E9ED652" w14:textId="77777777" w:rsidR="0090593A" w:rsidRPr="000D7329" w:rsidRDefault="0090593A" w:rsidP="0090593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b/>
          <w:bCs/>
          <w:sz w:val="28"/>
          <w:szCs w:val="28"/>
        </w:rPr>
        <w:t>Стандартизація та вимоги:</w:t>
      </w:r>
      <w:r w:rsidRPr="000D7329">
        <w:rPr>
          <w:rFonts w:ascii="Times New Roman" w:hAnsi="Times New Roman" w:cs="Times New Roman"/>
          <w:sz w:val="28"/>
          <w:szCs w:val="28"/>
        </w:rPr>
        <w:t xml:space="preserve"> Обов'язкова звітність ESG, зазвичай регулюється правовими нормами та регуляторними органами, може встановлювати стандарти для всіх компаній у секторі, сприяючи більшій стандартизації та порівняльній оцінці даних.</w:t>
      </w:r>
    </w:p>
    <w:p w14:paraId="4E90CDFF" w14:textId="77777777" w:rsidR="0090593A" w:rsidRPr="000D7329" w:rsidRDefault="0090593A" w:rsidP="0090593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b/>
          <w:bCs/>
          <w:sz w:val="28"/>
          <w:szCs w:val="28"/>
        </w:rPr>
        <w:t>Зменшення ризиків та відповідальність:</w:t>
      </w:r>
      <w:r w:rsidRPr="000D7329">
        <w:rPr>
          <w:rFonts w:ascii="Times New Roman" w:hAnsi="Times New Roman" w:cs="Times New Roman"/>
          <w:sz w:val="28"/>
          <w:szCs w:val="28"/>
        </w:rPr>
        <w:t xml:space="preserve"> Обов'язкове звітування ESG може допомогти зменшити ризики для компаній, які не відповідають нормативам або не враховують соціальні та екологічні аспекти у своїй діяльності, та забезпечити відповідність законодавству та регуляторним вимогам.</w:t>
      </w:r>
    </w:p>
    <w:p w14:paraId="243B910C" w14:textId="77777777" w:rsidR="0090593A" w:rsidRPr="000D7329" w:rsidRDefault="0090593A" w:rsidP="0090593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b/>
          <w:bCs/>
          <w:sz w:val="28"/>
          <w:szCs w:val="28"/>
        </w:rPr>
        <w:t>Прозорість та довіра:</w:t>
      </w:r>
      <w:r w:rsidRPr="000D7329">
        <w:rPr>
          <w:rFonts w:ascii="Times New Roman" w:hAnsi="Times New Roman" w:cs="Times New Roman"/>
          <w:sz w:val="28"/>
          <w:szCs w:val="28"/>
        </w:rPr>
        <w:t xml:space="preserve"> Обов'язкове звітування створює більшу прозорість та довіру до діяльності компаній у сфері ESG, забезпечуючи зацікавлених сторін інформацією про їхні впливи на довкілля, соціальні аспекти та корпоративне управління.</w:t>
      </w:r>
    </w:p>
    <w:p w14:paraId="1C3831EF" w14:textId="77777777" w:rsidR="0090593A" w:rsidRPr="000D7329" w:rsidRDefault="0090593A" w:rsidP="0090593A">
      <w:pPr>
        <w:spacing w:after="0" w:line="240" w:lineRule="auto"/>
        <w:ind w:firstLine="567"/>
        <w:jc w:val="both"/>
        <w:rPr>
          <w:rFonts w:ascii="Times New Roman" w:hAnsi="Times New Roman" w:cs="Times New Roman"/>
          <w:sz w:val="28"/>
          <w:szCs w:val="28"/>
        </w:rPr>
      </w:pPr>
      <w:r w:rsidRPr="000D7329">
        <w:rPr>
          <w:rFonts w:ascii="Times New Roman" w:hAnsi="Times New Roman" w:cs="Times New Roman"/>
          <w:sz w:val="28"/>
          <w:szCs w:val="28"/>
        </w:rPr>
        <w:t>У різних країнах та секторах вимоги та підходи до добровільної та обов'язкової звітності ESG можуть відрізнятися в залежності від законодавства, культурних особливостей та економічного середовища. Однак незалежно від цього, звітність ESG визнається як важливий інструмент для визначення та управління сталістю бізнесу та відповідального ведення діяльності.</w:t>
      </w:r>
    </w:p>
    <w:p w14:paraId="689020EC" w14:textId="6E9FC60A" w:rsidR="002B51EE" w:rsidRPr="000D7329" w:rsidRDefault="002B51EE" w:rsidP="0090593A">
      <w:pPr>
        <w:spacing w:after="0" w:line="240" w:lineRule="auto"/>
        <w:ind w:firstLine="567"/>
        <w:rPr>
          <w:rFonts w:ascii="Times New Roman" w:eastAsia="Times New Roman" w:hAnsi="Times New Roman" w:cs="Times New Roman"/>
          <w:b/>
          <w:bCs/>
          <w:sz w:val="28"/>
          <w:szCs w:val="28"/>
          <w:lang w:eastAsia="uk-UA"/>
        </w:rPr>
      </w:pPr>
      <w:r w:rsidRPr="000D7329">
        <w:rPr>
          <w:rFonts w:ascii="Times New Roman" w:eastAsia="Times New Roman" w:hAnsi="Times New Roman" w:cs="Times New Roman"/>
          <w:b/>
          <w:bCs/>
          <w:sz w:val="28"/>
          <w:szCs w:val="28"/>
          <w:lang w:eastAsia="uk-UA"/>
        </w:rPr>
        <w:t>Практичне завдання</w:t>
      </w:r>
    </w:p>
    <w:p w14:paraId="3485FB61" w14:textId="463AD346" w:rsidR="0090593A" w:rsidRPr="000D7329" w:rsidRDefault="0090593A" w:rsidP="00132D89">
      <w:pPr>
        <w:pStyle w:val="a6"/>
        <w:numPr>
          <w:ilvl w:val="0"/>
          <w:numId w:val="11"/>
        </w:numPr>
        <w:tabs>
          <w:tab w:val="left" w:pos="426"/>
          <w:tab w:val="left" w:pos="851"/>
        </w:tabs>
        <w:spacing w:after="0" w:line="240" w:lineRule="auto"/>
        <w:ind w:left="0" w:firstLine="567"/>
        <w:rPr>
          <w:rFonts w:ascii="Times New Roman" w:hAnsi="Times New Roman" w:cs="Times New Roman"/>
          <w:sz w:val="28"/>
          <w:szCs w:val="28"/>
        </w:rPr>
      </w:pPr>
      <w:proofErr w:type="spellStart"/>
      <w:r w:rsidRPr="000D7329">
        <w:rPr>
          <w:rFonts w:ascii="Times New Roman" w:hAnsi="Times New Roman" w:cs="Times New Roman"/>
          <w:sz w:val="28"/>
          <w:szCs w:val="28"/>
        </w:rPr>
        <w:lastRenderedPageBreak/>
        <w:t>Дослідіть</w:t>
      </w:r>
      <w:proofErr w:type="spellEnd"/>
      <w:r w:rsidRPr="000D7329">
        <w:rPr>
          <w:rFonts w:ascii="Times New Roman" w:hAnsi="Times New Roman" w:cs="Times New Roman"/>
          <w:sz w:val="28"/>
          <w:szCs w:val="28"/>
        </w:rPr>
        <w:t xml:space="preserve"> публічно доступну інформацію про обрану </w:t>
      </w:r>
      <w:r w:rsidR="00132D89" w:rsidRPr="000D7329">
        <w:rPr>
          <w:rFonts w:ascii="Times New Roman" w:hAnsi="Times New Roman" w:cs="Times New Roman"/>
          <w:sz w:val="28"/>
          <w:szCs w:val="28"/>
        </w:rPr>
        <w:t xml:space="preserve">Вами </w:t>
      </w:r>
      <w:r w:rsidRPr="000D7329">
        <w:rPr>
          <w:rFonts w:ascii="Times New Roman" w:hAnsi="Times New Roman" w:cs="Times New Roman"/>
          <w:sz w:val="28"/>
          <w:szCs w:val="28"/>
        </w:rPr>
        <w:t xml:space="preserve">компанію (веб-сайт, річні звіти, новини, соціальні медіа) </w:t>
      </w:r>
    </w:p>
    <w:p w14:paraId="1309996C" w14:textId="498DE6CE" w:rsidR="0090593A" w:rsidRPr="000D7329" w:rsidRDefault="0090593A" w:rsidP="00132D89">
      <w:pPr>
        <w:pStyle w:val="a6"/>
        <w:numPr>
          <w:ilvl w:val="0"/>
          <w:numId w:val="11"/>
        </w:numPr>
        <w:tabs>
          <w:tab w:val="left" w:pos="426"/>
          <w:tab w:val="left" w:pos="851"/>
        </w:tabs>
        <w:spacing w:after="0" w:line="240" w:lineRule="auto"/>
        <w:ind w:left="0" w:firstLine="567"/>
        <w:rPr>
          <w:rFonts w:ascii="Times New Roman" w:hAnsi="Times New Roman" w:cs="Times New Roman"/>
          <w:sz w:val="28"/>
          <w:szCs w:val="28"/>
        </w:rPr>
      </w:pPr>
      <w:r w:rsidRPr="000D7329">
        <w:rPr>
          <w:rFonts w:ascii="Times New Roman" w:hAnsi="Times New Roman" w:cs="Times New Roman"/>
          <w:sz w:val="28"/>
          <w:szCs w:val="28"/>
        </w:rPr>
        <w:t xml:space="preserve">Проаналізуйте наявність ESG-ініціатив або їх відсутність </w:t>
      </w:r>
    </w:p>
    <w:p w14:paraId="724F8E43" w14:textId="047B0685" w:rsidR="0090593A" w:rsidRPr="000D7329" w:rsidRDefault="0090593A" w:rsidP="00132D89">
      <w:pPr>
        <w:pStyle w:val="a6"/>
        <w:numPr>
          <w:ilvl w:val="0"/>
          <w:numId w:val="11"/>
        </w:numPr>
        <w:tabs>
          <w:tab w:val="left" w:pos="426"/>
          <w:tab w:val="left" w:pos="851"/>
        </w:tabs>
        <w:spacing w:after="0" w:line="240" w:lineRule="auto"/>
        <w:ind w:left="0" w:firstLine="567"/>
        <w:rPr>
          <w:rFonts w:ascii="Times New Roman" w:hAnsi="Times New Roman" w:cs="Times New Roman"/>
          <w:sz w:val="28"/>
          <w:szCs w:val="28"/>
        </w:rPr>
      </w:pPr>
      <w:r w:rsidRPr="000D7329">
        <w:rPr>
          <w:rFonts w:ascii="Times New Roman" w:hAnsi="Times New Roman" w:cs="Times New Roman"/>
          <w:sz w:val="28"/>
          <w:szCs w:val="28"/>
        </w:rPr>
        <w:t xml:space="preserve">Визначте основні ESG-ризики та можливості для компанії з урахуванням специфіки галузі </w:t>
      </w:r>
    </w:p>
    <w:p w14:paraId="1FEC6BBD" w14:textId="220E54A3" w:rsidR="00CA2E3F" w:rsidRPr="000D7329" w:rsidRDefault="0090593A" w:rsidP="00132D89">
      <w:pPr>
        <w:pStyle w:val="a6"/>
        <w:numPr>
          <w:ilvl w:val="0"/>
          <w:numId w:val="11"/>
        </w:numPr>
        <w:tabs>
          <w:tab w:val="left" w:pos="426"/>
          <w:tab w:val="left" w:pos="851"/>
          <w:tab w:val="left" w:pos="993"/>
        </w:tabs>
        <w:spacing w:after="0" w:line="240" w:lineRule="auto"/>
        <w:ind w:left="0" w:firstLine="567"/>
        <w:jc w:val="both"/>
        <w:rPr>
          <w:rFonts w:ascii="Times New Roman" w:hAnsi="Times New Roman" w:cs="Times New Roman"/>
          <w:sz w:val="28"/>
          <w:szCs w:val="28"/>
        </w:rPr>
      </w:pPr>
      <w:r w:rsidRPr="000D7329">
        <w:rPr>
          <w:rFonts w:ascii="Times New Roman" w:hAnsi="Times New Roman" w:cs="Times New Roman"/>
          <w:sz w:val="28"/>
          <w:szCs w:val="28"/>
        </w:rPr>
        <w:t>Оцініть поточний рівень ESG-зрілості компанії за 5-бальною шкалою та обґрунтуйте свою оцінку</w:t>
      </w:r>
    </w:p>
    <w:p w14:paraId="295E7D87" w14:textId="327FF6B3" w:rsidR="0090593A" w:rsidRPr="000D7329" w:rsidRDefault="0090593A" w:rsidP="00132D89">
      <w:pPr>
        <w:pStyle w:val="a6"/>
        <w:numPr>
          <w:ilvl w:val="0"/>
          <w:numId w:val="11"/>
        </w:numPr>
        <w:tabs>
          <w:tab w:val="left" w:pos="426"/>
          <w:tab w:val="left" w:pos="851"/>
        </w:tabs>
        <w:spacing w:after="0" w:line="240" w:lineRule="auto"/>
        <w:ind w:left="0" w:firstLine="567"/>
        <w:rPr>
          <w:rFonts w:ascii="Times New Roman" w:hAnsi="Times New Roman" w:cs="Times New Roman"/>
          <w:sz w:val="28"/>
          <w:szCs w:val="28"/>
        </w:rPr>
      </w:pPr>
      <w:r w:rsidRPr="000D7329">
        <w:rPr>
          <w:rFonts w:ascii="Times New Roman" w:hAnsi="Times New Roman" w:cs="Times New Roman"/>
          <w:sz w:val="28"/>
          <w:szCs w:val="28"/>
        </w:rPr>
        <w:t xml:space="preserve">Визначте 2-3 міжнародні компанії схожого профілю з сильними ESG-показниками </w:t>
      </w:r>
    </w:p>
    <w:p w14:paraId="29025D97" w14:textId="15CE21E0" w:rsidR="0090593A" w:rsidRPr="000D7329" w:rsidRDefault="0090593A" w:rsidP="00132D89">
      <w:pPr>
        <w:pStyle w:val="a6"/>
        <w:numPr>
          <w:ilvl w:val="0"/>
          <w:numId w:val="11"/>
        </w:numPr>
        <w:tabs>
          <w:tab w:val="left" w:pos="426"/>
          <w:tab w:val="left" w:pos="851"/>
        </w:tabs>
        <w:spacing w:after="0" w:line="240" w:lineRule="auto"/>
        <w:ind w:left="0" w:firstLine="567"/>
        <w:rPr>
          <w:rFonts w:ascii="Times New Roman" w:hAnsi="Times New Roman" w:cs="Times New Roman"/>
          <w:sz w:val="28"/>
          <w:szCs w:val="28"/>
        </w:rPr>
      </w:pPr>
      <w:r w:rsidRPr="000D7329">
        <w:rPr>
          <w:rFonts w:ascii="Times New Roman" w:hAnsi="Times New Roman" w:cs="Times New Roman"/>
          <w:sz w:val="28"/>
          <w:szCs w:val="28"/>
        </w:rPr>
        <w:t xml:space="preserve">Проаналізуйте їхні ESG-стратегії, звіти та ініціативи </w:t>
      </w:r>
    </w:p>
    <w:p w14:paraId="532EC517" w14:textId="2B855C10" w:rsidR="0090593A" w:rsidRPr="000D7329" w:rsidRDefault="0090593A" w:rsidP="00132D89">
      <w:pPr>
        <w:pStyle w:val="a6"/>
        <w:numPr>
          <w:ilvl w:val="0"/>
          <w:numId w:val="11"/>
        </w:numPr>
        <w:tabs>
          <w:tab w:val="left" w:pos="426"/>
          <w:tab w:val="left" w:pos="851"/>
          <w:tab w:val="left" w:pos="993"/>
        </w:tabs>
        <w:spacing w:after="0" w:line="240" w:lineRule="auto"/>
        <w:ind w:left="0" w:firstLine="567"/>
        <w:jc w:val="both"/>
        <w:rPr>
          <w:rFonts w:ascii="Times New Roman" w:hAnsi="Times New Roman" w:cs="Times New Roman"/>
          <w:sz w:val="28"/>
          <w:szCs w:val="28"/>
        </w:rPr>
      </w:pPr>
      <w:r w:rsidRPr="000D7329">
        <w:rPr>
          <w:rFonts w:ascii="Times New Roman" w:hAnsi="Times New Roman" w:cs="Times New Roman"/>
          <w:sz w:val="28"/>
          <w:szCs w:val="28"/>
        </w:rPr>
        <w:t>Виділіть ключові компоненти успішних ESG-стратегій, які можуть бути адаптовані для вашої обраної компанії</w:t>
      </w:r>
    </w:p>
    <w:sectPr w:rsidR="0090593A" w:rsidRPr="000D732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6F7A" w14:textId="77777777" w:rsidR="005400F7" w:rsidRDefault="005400F7" w:rsidP="002B51EE">
      <w:pPr>
        <w:spacing w:after="0" w:line="240" w:lineRule="auto"/>
      </w:pPr>
      <w:r>
        <w:separator/>
      </w:r>
    </w:p>
  </w:endnote>
  <w:endnote w:type="continuationSeparator" w:id="0">
    <w:p w14:paraId="33F795BE" w14:textId="77777777" w:rsidR="005400F7" w:rsidRDefault="005400F7" w:rsidP="002B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8B95" w14:textId="77777777" w:rsidR="005400F7" w:rsidRDefault="005400F7" w:rsidP="002B51EE">
      <w:pPr>
        <w:spacing w:after="0" w:line="240" w:lineRule="auto"/>
      </w:pPr>
      <w:r>
        <w:separator/>
      </w:r>
    </w:p>
  </w:footnote>
  <w:footnote w:type="continuationSeparator" w:id="0">
    <w:p w14:paraId="1786FD77" w14:textId="77777777" w:rsidR="005400F7" w:rsidRDefault="005400F7" w:rsidP="002B5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marker 1" style="width:11.8pt;height:11.8pt;visibility:visible;mso-wrap-style:square" o:bullet="t">
        <v:imagedata r:id="rId1" o:title="marker 1"/>
      </v:shape>
    </w:pict>
  </w:numPicBullet>
  <w:abstractNum w:abstractNumId="0" w15:restartNumberingAfterBreak="0">
    <w:nsid w:val="00000001"/>
    <w:multiLevelType w:val="multilevel"/>
    <w:tmpl w:val="00000001"/>
    <w:name w:val="WWNum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 w15:restartNumberingAfterBreak="0">
    <w:nsid w:val="06214B7B"/>
    <w:multiLevelType w:val="hybridMultilevel"/>
    <w:tmpl w:val="13ECC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4494D"/>
    <w:multiLevelType w:val="multilevel"/>
    <w:tmpl w:val="BCE65E6A"/>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B8C740C"/>
    <w:multiLevelType w:val="hybridMultilevel"/>
    <w:tmpl w:val="F75403F0"/>
    <w:lvl w:ilvl="0" w:tplc="0BC028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B145C76"/>
    <w:multiLevelType w:val="hybridMultilevel"/>
    <w:tmpl w:val="DA08EFB2"/>
    <w:lvl w:ilvl="0" w:tplc="48F68926">
      <w:start w:val="1"/>
      <w:numFmt w:val="bullet"/>
      <w:lvlText w:val=""/>
      <w:lvlPicBulletId w:val="0"/>
      <w:lvlJc w:val="left"/>
      <w:pPr>
        <w:tabs>
          <w:tab w:val="num" w:pos="720"/>
        </w:tabs>
        <w:ind w:left="720" w:hanging="360"/>
      </w:pPr>
      <w:rPr>
        <w:rFonts w:ascii="Symbol" w:hAnsi="Symbol" w:hint="default"/>
      </w:rPr>
    </w:lvl>
    <w:lvl w:ilvl="1" w:tplc="17624BEA" w:tentative="1">
      <w:start w:val="1"/>
      <w:numFmt w:val="bullet"/>
      <w:lvlText w:val=""/>
      <w:lvlJc w:val="left"/>
      <w:pPr>
        <w:tabs>
          <w:tab w:val="num" w:pos="1440"/>
        </w:tabs>
        <w:ind w:left="1440" w:hanging="360"/>
      </w:pPr>
      <w:rPr>
        <w:rFonts w:ascii="Symbol" w:hAnsi="Symbol" w:hint="default"/>
      </w:rPr>
    </w:lvl>
    <w:lvl w:ilvl="2" w:tplc="CACC9E62" w:tentative="1">
      <w:start w:val="1"/>
      <w:numFmt w:val="bullet"/>
      <w:lvlText w:val=""/>
      <w:lvlJc w:val="left"/>
      <w:pPr>
        <w:tabs>
          <w:tab w:val="num" w:pos="2160"/>
        </w:tabs>
        <w:ind w:left="2160" w:hanging="360"/>
      </w:pPr>
      <w:rPr>
        <w:rFonts w:ascii="Symbol" w:hAnsi="Symbol" w:hint="default"/>
      </w:rPr>
    </w:lvl>
    <w:lvl w:ilvl="3" w:tplc="928EF858" w:tentative="1">
      <w:start w:val="1"/>
      <w:numFmt w:val="bullet"/>
      <w:lvlText w:val=""/>
      <w:lvlJc w:val="left"/>
      <w:pPr>
        <w:tabs>
          <w:tab w:val="num" w:pos="2880"/>
        </w:tabs>
        <w:ind w:left="2880" w:hanging="360"/>
      </w:pPr>
      <w:rPr>
        <w:rFonts w:ascii="Symbol" w:hAnsi="Symbol" w:hint="default"/>
      </w:rPr>
    </w:lvl>
    <w:lvl w:ilvl="4" w:tplc="FCCCD384" w:tentative="1">
      <w:start w:val="1"/>
      <w:numFmt w:val="bullet"/>
      <w:lvlText w:val=""/>
      <w:lvlJc w:val="left"/>
      <w:pPr>
        <w:tabs>
          <w:tab w:val="num" w:pos="3600"/>
        </w:tabs>
        <w:ind w:left="3600" w:hanging="360"/>
      </w:pPr>
      <w:rPr>
        <w:rFonts w:ascii="Symbol" w:hAnsi="Symbol" w:hint="default"/>
      </w:rPr>
    </w:lvl>
    <w:lvl w:ilvl="5" w:tplc="2B9C81EA" w:tentative="1">
      <w:start w:val="1"/>
      <w:numFmt w:val="bullet"/>
      <w:lvlText w:val=""/>
      <w:lvlJc w:val="left"/>
      <w:pPr>
        <w:tabs>
          <w:tab w:val="num" w:pos="4320"/>
        </w:tabs>
        <w:ind w:left="4320" w:hanging="360"/>
      </w:pPr>
      <w:rPr>
        <w:rFonts w:ascii="Symbol" w:hAnsi="Symbol" w:hint="default"/>
      </w:rPr>
    </w:lvl>
    <w:lvl w:ilvl="6" w:tplc="772AFB30" w:tentative="1">
      <w:start w:val="1"/>
      <w:numFmt w:val="bullet"/>
      <w:lvlText w:val=""/>
      <w:lvlJc w:val="left"/>
      <w:pPr>
        <w:tabs>
          <w:tab w:val="num" w:pos="5040"/>
        </w:tabs>
        <w:ind w:left="5040" w:hanging="360"/>
      </w:pPr>
      <w:rPr>
        <w:rFonts w:ascii="Symbol" w:hAnsi="Symbol" w:hint="default"/>
      </w:rPr>
    </w:lvl>
    <w:lvl w:ilvl="7" w:tplc="27C86E2E" w:tentative="1">
      <w:start w:val="1"/>
      <w:numFmt w:val="bullet"/>
      <w:lvlText w:val=""/>
      <w:lvlJc w:val="left"/>
      <w:pPr>
        <w:tabs>
          <w:tab w:val="num" w:pos="5760"/>
        </w:tabs>
        <w:ind w:left="5760" w:hanging="360"/>
      </w:pPr>
      <w:rPr>
        <w:rFonts w:ascii="Symbol" w:hAnsi="Symbol" w:hint="default"/>
      </w:rPr>
    </w:lvl>
    <w:lvl w:ilvl="8" w:tplc="44944D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5E53E2D"/>
    <w:multiLevelType w:val="multilevel"/>
    <w:tmpl w:val="F648C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CDC0BFE"/>
    <w:multiLevelType w:val="multilevel"/>
    <w:tmpl w:val="6478AE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ECF4B50"/>
    <w:multiLevelType w:val="multilevel"/>
    <w:tmpl w:val="135C0A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AE6245C"/>
    <w:multiLevelType w:val="hybridMultilevel"/>
    <w:tmpl w:val="386864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9687D13"/>
    <w:multiLevelType w:val="hybridMultilevel"/>
    <w:tmpl w:val="4016EB9A"/>
    <w:lvl w:ilvl="0" w:tplc="1EC8390E">
      <w:start w:val="1"/>
      <w:numFmt w:val="decimal"/>
      <w:lvlText w:val="%1."/>
      <w:lvlJc w:val="left"/>
      <w:pPr>
        <w:ind w:left="720" w:hanging="360"/>
      </w:pPr>
      <w:rPr>
        <w:rFonts w:eastAsia="Times New Roman" w:hAnsi="Symbol"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F4D2663"/>
    <w:multiLevelType w:val="hybridMultilevel"/>
    <w:tmpl w:val="13ECC9CC"/>
    <w:lvl w:ilvl="0" w:tplc="8FAC475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7046610">
    <w:abstractNumId w:val="4"/>
  </w:num>
  <w:num w:numId="2" w16cid:durableId="26949098">
    <w:abstractNumId w:val="3"/>
  </w:num>
  <w:num w:numId="3" w16cid:durableId="2081900018">
    <w:abstractNumId w:val="7"/>
  </w:num>
  <w:num w:numId="4" w16cid:durableId="664475107">
    <w:abstractNumId w:val="2"/>
  </w:num>
  <w:num w:numId="5" w16cid:durableId="1286354516">
    <w:abstractNumId w:val="5"/>
  </w:num>
  <w:num w:numId="6" w16cid:durableId="2145848959">
    <w:abstractNumId w:val="6"/>
  </w:num>
  <w:num w:numId="7" w16cid:durableId="903686478">
    <w:abstractNumId w:val="0"/>
  </w:num>
  <w:num w:numId="8" w16cid:durableId="646783366">
    <w:abstractNumId w:val="10"/>
  </w:num>
  <w:num w:numId="9" w16cid:durableId="1770588156">
    <w:abstractNumId w:val="1"/>
  </w:num>
  <w:num w:numId="10" w16cid:durableId="557866153">
    <w:abstractNumId w:val="9"/>
  </w:num>
  <w:num w:numId="11" w16cid:durableId="1869373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C2"/>
    <w:rsid w:val="000A2322"/>
    <w:rsid w:val="000D7329"/>
    <w:rsid w:val="00132D89"/>
    <w:rsid w:val="001768A4"/>
    <w:rsid w:val="001E47F0"/>
    <w:rsid w:val="001F0311"/>
    <w:rsid w:val="002B51EE"/>
    <w:rsid w:val="004B4D7D"/>
    <w:rsid w:val="005400F7"/>
    <w:rsid w:val="005A2DC2"/>
    <w:rsid w:val="005B58B5"/>
    <w:rsid w:val="00614EB9"/>
    <w:rsid w:val="006F531E"/>
    <w:rsid w:val="008512AB"/>
    <w:rsid w:val="0090593A"/>
    <w:rsid w:val="009929FA"/>
    <w:rsid w:val="00C276D8"/>
    <w:rsid w:val="00CA2E3F"/>
    <w:rsid w:val="00E72C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5229"/>
  <w15:chartTrackingRefBased/>
  <w15:docId w15:val="{B1FC6CF8-2815-482F-9685-30F921D2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8B5"/>
  </w:style>
  <w:style w:type="paragraph" w:styleId="1">
    <w:name w:val="heading 1"/>
    <w:basedOn w:val="a"/>
    <w:link w:val="10"/>
    <w:uiPriority w:val="9"/>
    <w:qFormat/>
    <w:rsid w:val="000A2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0A232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8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B58B5"/>
    <w:rPr>
      <w:color w:val="0000FF"/>
      <w:u w:val="single"/>
    </w:rPr>
  </w:style>
  <w:style w:type="character" w:styleId="a5">
    <w:name w:val="Strong"/>
    <w:basedOn w:val="a0"/>
    <w:uiPriority w:val="22"/>
    <w:qFormat/>
    <w:rsid w:val="005B58B5"/>
    <w:rPr>
      <w:b/>
      <w:bCs/>
    </w:rPr>
  </w:style>
  <w:style w:type="paragraph" w:styleId="a6">
    <w:name w:val="List Paragraph"/>
    <w:basedOn w:val="a"/>
    <w:uiPriority w:val="34"/>
    <w:qFormat/>
    <w:rsid w:val="005B58B5"/>
    <w:pPr>
      <w:ind w:left="720"/>
      <w:contextualSpacing/>
    </w:pPr>
  </w:style>
  <w:style w:type="character" w:customStyle="1" w:styleId="10">
    <w:name w:val="Заголовок 1 Знак"/>
    <w:basedOn w:val="a0"/>
    <w:link w:val="1"/>
    <w:uiPriority w:val="9"/>
    <w:rsid w:val="000A2322"/>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0A2322"/>
    <w:rPr>
      <w:rFonts w:ascii="Times New Roman" w:eastAsia="Times New Roman" w:hAnsi="Times New Roman" w:cs="Times New Roman"/>
      <w:b/>
      <w:bCs/>
      <w:sz w:val="36"/>
      <w:szCs w:val="36"/>
      <w:lang w:eastAsia="uk-UA"/>
    </w:rPr>
  </w:style>
  <w:style w:type="paragraph" w:customStyle="1" w:styleId="whitespace-pre-wrap">
    <w:name w:val="whitespace-pre-wrap"/>
    <w:basedOn w:val="a"/>
    <w:rsid w:val="000A23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hitespace-normal">
    <w:name w:val="whitespace-normal"/>
    <w:basedOn w:val="a"/>
    <w:rsid w:val="000A23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Абзац списку1"/>
    <w:basedOn w:val="a"/>
    <w:rsid w:val="002B51EE"/>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rvps2">
    <w:name w:val="rvps2"/>
    <w:basedOn w:val="a"/>
    <w:rsid w:val="002B51EE"/>
    <w:pPr>
      <w:widowControl w:val="0"/>
      <w:suppressAutoHyphens/>
      <w:spacing w:before="28" w:after="100" w:line="100" w:lineRule="atLeast"/>
    </w:pPr>
    <w:rPr>
      <w:rFonts w:ascii="Times New Roman" w:eastAsia="Times New Roman" w:hAnsi="Times New Roman" w:cs="Times New Roman"/>
      <w:kern w:val="1"/>
      <w:sz w:val="24"/>
      <w:szCs w:val="24"/>
      <w:lang w:eastAsia="hi-IN" w:bidi="hi-IN"/>
    </w:rPr>
  </w:style>
  <w:style w:type="character" w:styleId="a7">
    <w:name w:val="Emphasis"/>
    <w:uiPriority w:val="20"/>
    <w:qFormat/>
    <w:rsid w:val="002B51EE"/>
    <w:rPr>
      <w:i/>
      <w:iCs/>
    </w:rPr>
  </w:style>
  <w:style w:type="paragraph" w:styleId="a8">
    <w:name w:val="footnote text"/>
    <w:basedOn w:val="a"/>
    <w:link w:val="a9"/>
    <w:unhideWhenUsed/>
    <w:rsid w:val="002B51EE"/>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rsid w:val="002B51EE"/>
    <w:rPr>
      <w:rFonts w:ascii="Calibri" w:eastAsia="Calibri" w:hAnsi="Calibri" w:cs="Times New Roman"/>
      <w:sz w:val="20"/>
      <w:szCs w:val="20"/>
    </w:rPr>
  </w:style>
  <w:style w:type="character" w:styleId="aa">
    <w:name w:val="footnote reference"/>
    <w:uiPriority w:val="99"/>
    <w:semiHidden/>
    <w:unhideWhenUsed/>
    <w:rsid w:val="002B51EE"/>
    <w:rPr>
      <w:vertAlign w:val="superscript"/>
    </w:rPr>
  </w:style>
  <w:style w:type="character" w:customStyle="1" w:styleId="None">
    <w:name w:val="None"/>
    <w:rsid w:val="002B5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8392">
      <w:bodyDiv w:val="1"/>
      <w:marLeft w:val="0"/>
      <w:marRight w:val="0"/>
      <w:marTop w:val="0"/>
      <w:marBottom w:val="0"/>
      <w:divBdr>
        <w:top w:val="none" w:sz="0" w:space="0" w:color="auto"/>
        <w:left w:val="none" w:sz="0" w:space="0" w:color="auto"/>
        <w:bottom w:val="none" w:sz="0" w:space="0" w:color="auto"/>
        <w:right w:val="none" w:sz="0" w:space="0" w:color="auto"/>
      </w:divBdr>
    </w:div>
    <w:div w:id="655573229">
      <w:bodyDiv w:val="1"/>
      <w:marLeft w:val="0"/>
      <w:marRight w:val="0"/>
      <w:marTop w:val="0"/>
      <w:marBottom w:val="0"/>
      <w:divBdr>
        <w:top w:val="none" w:sz="0" w:space="0" w:color="auto"/>
        <w:left w:val="none" w:sz="0" w:space="0" w:color="auto"/>
        <w:bottom w:val="none" w:sz="0" w:space="0" w:color="auto"/>
        <w:right w:val="none" w:sz="0" w:space="0" w:color="auto"/>
      </w:divBdr>
      <w:divsChild>
        <w:div w:id="531384824">
          <w:marLeft w:val="0"/>
          <w:marRight w:val="0"/>
          <w:marTop w:val="0"/>
          <w:marBottom w:val="0"/>
          <w:divBdr>
            <w:top w:val="none" w:sz="0" w:space="0" w:color="auto"/>
            <w:left w:val="none" w:sz="0" w:space="0" w:color="auto"/>
            <w:bottom w:val="none" w:sz="0" w:space="0" w:color="auto"/>
            <w:right w:val="none" w:sz="0" w:space="0" w:color="auto"/>
          </w:divBdr>
          <w:divsChild>
            <w:div w:id="1098794246">
              <w:marLeft w:val="0"/>
              <w:marRight w:val="0"/>
              <w:marTop w:val="0"/>
              <w:marBottom w:val="900"/>
              <w:divBdr>
                <w:top w:val="none" w:sz="0" w:space="0" w:color="auto"/>
                <w:left w:val="none" w:sz="0" w:space="0" w:color="auto"/>
                <w:bottom w:val="none" w:sz="0" w:space="0" w:color="auto"/>
                <w:right w:val="none" w:sz="0" w:space="0" w:color="auto"/>
              </w:divBdr>
              <w:divsChild>
                <w:div w:id="14952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5153">
          <w:marLeft w:val="0"/>
          <w:marRight w:val="0"/>
          <w:marTop w:val="0"/>
          <w:marBottom w:val="0"/>
          <w:divBdr>
            <w:top w:val="none" w:sz="0" w:space="0" w:color="auto"/>
            <w:left w:val="none" w:sz="0" w:space="0" w:color="auto"/>
            <w:bottom w:val="none" w:sz="0" w:space="0" w:color="auto"/>
            <w:right w:val="none" w:sz="0" w:space="0" w:color="auto"/>
          </w:divBdr>
        </w:div>
        <w:div w:id="1808010208">
          <w:marLeft w:val="0"/>
          <w:marRight w:val="0"/>
          <w:marTop w:val="0"/>
          <w:marBottom w:val="0"/>
          <w:divBdr>
            <w:top w:val="none" w:sz="0" w:space="0" w:color="auto"/>
            <w:left w:val="none" w:sz="0" w:space="0" w:color="auto"/>
            <w:bottom w:val="none" w:sz="0" w:space="0" w:color="auto"/>
            <w:right w:val="none" w:sz="0" w:space="0" w:color="auto"/>
          </w:divBdr>
          <w:divsChild>
            <w:div w:id="1480684971">
              <w:marLeft w:val="0"/>
              <w:marRight w:val="0"/>
              <w:marTop w:val="0"/>
              <w:marBottom w:val="0"/>
              <w:divBdr>
                <w:top w:val="none" w:sz="0" w:space="0" w:color="auto"/>
                <w:left w:val="none" w:sz="0" w:space="0" w:color="auto"/>
                <w:bottom w:val="none" w:sz="0" w:space="0" w:color="auto"/>
                <w:right w:val="none" w:sz="0" w:space="0" w:color="auto"/>
              </w:divBdr>
            </w:div>
            <w:div w:id="13537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5669">
      <w:bodyDiv w:val="1"/>
      <w:marLeft w:val="0"/>
      <w:marRight w:val="0"/>
      <w:marTop w:val="0"/>
      <w:marBottom w:val="0"/>
      <w:divBdr>
        <w:top w:val="none" w:sz="0" w:space="0" w:color="auto"/>
        <w:left w:val="none" w:sz="0" w:space="0" w:color="auto"/>
        <w:bottom w:val="none" w:sz="0" w:space="0" w:color="auto"/>
        <w:right w:val="none" w:sz="0" w:space="0" w:color="auto"/>
      </w:divBdr>
    </w:div>
    <w:div w:id="815226629">
      <w:bodyDiv w:val="1"/>
      <w:marLeft w:val="0"/>
      <w:marRight w:val="0"/>
      <w:marTop w:val="0"/>
      <w:marBottom w:val="0"/>
      <w:divBdr>
        <w:top w:val="none" w:sz="0" w:space="0" w:color="auto"/>
        <w:left w:val="none" w:sz="0" w:space="0" w:color="auto"/>
        <w:bottom w:val="none" w:sz="0" w:space="0" w:color="auto"/>
        <w:right w:val="none" w:sz="0" w:space="0" w:color="auto"/>
      </w:divBdr>
    </w:div>
    <w:div w:id="1110667111">
      <w:bodyDiv w:val="1"/>
      <w:marLeft w:val="0"/>
      <w:marRight w:val="0"/>
      <w:marTop w:val="0"/>
      <w:marBottom w:val="0"/>
      <w:divBdr>
        <w:top w:val="none" w:sz="0" w:space="0" w:color="auto"/>
        <w:left w:val="none" w:sz="0" w:space="0" w:color="auto"/>
        <w:bottom w:val="none" w:sz="0" w:space="0" w:color="auto"/>
        <w:right w:val="none" w:sz="0" w:space="0" w:color="auto"/>
      </w:divBdr>
    </w:div>
    <w:div w:id="1872643394">
      <w:bodyDiv w:val="1"/>
      <w:marLeft w:val="0"/>
      <w:marRight w:val="0"/>
      <w:marTop w:val="0"/>
      <w:marBottom w:val="0"/>
      <w:divBdr>
        <w:top w:val="none" w:sz="0" w:space="0" w:color="auto"/>
        <w:left w:val="none" w:sz="0" w:space="0" w:color="auto"/>
        <w:bottom w:val="none" w:sz="0" w:space="0" w:color="auto"/>
        <w:right w:val="none" w:sz="0" w:space="0" w:color="auto"/>
      </w:divBdr>
    </w:div>
    <w:div w:id="206421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11028</Words>
  <Characters>6287</Characters>
  <Application>Microsoft Office Word</Application>
  <DocSecurity>0</DocSecurity>
  <Lines>52</Lines>
  <Paragraphs>34</Paragraphs>
  <ScaleCrop>false</ScaleCrop>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Хоменко</dc:creator>
  <cp:keywords/>
  <dc:description/>
  <cp:lastModifiedBy>Світлана Хоменко</cp:lastModifiedBy>
  <cp:revision>6</cp:revision>
  <dcterms:created xsi:type="dcterms:W3CDTF">2025-04-30T09:05:00Z</dcterms:created>
  <dcterms:modified xsi:type="dcterms:W3CDTF">2025-04-30T09:07:00Z</dcterms:modified>
</cp:coreProperties>
</file>