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22B88346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7905BB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0A08A95E" w14:textId="3B9757D9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905BB" w:rsidRPr="007905BB">
        <w:rPr>
          <w:rFonts w:ascii="Times New Roman" w:hAnsi="Times New Roman" w:cs="Times New Roman"/>
          <w:i/>
          <w:iCs/>
          <w:sz w:val="28"/>
          <w:szCs w:val="28"/>
        </w:rPr>
        <w:t>Оцінка впливу полігонів твердих побутових відходів на підземні води: розрахунок зони забруднення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37173E34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7905BB" w:rsidRPr="007905BB">
        <w:rPr>
          <w:rFonts w:ascii="Times New Roman" w:hAnsi="Times New Roman" w:cs="Times New Roman"/>
          <w:sz w:val="28"/>
          <w:szCs w:val="28"/>
        </w:rPr>
        <w:t>Освоїти методику оцінки впливу полігонів твердих побутових відходів на підземні води та навчитися розраховувати розміри зон забруднення підземних вод від полігонів ТПВ.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77879F6B" w14:textId="77777777" w:rsidR="007905BB" w:rsidRP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Розрахувати розміри зони забруднення підземних вод від полігону ТПВ, якщо потужність водоносного горизонту складає 20 м, коефіцієнт фільтрації - 2 м/добу, ефективна пористість - 0,15, а інтенсивність інфільтрації забруднених вод дорівнює 0,001 м/добу.</w:t>
      </w:r>
    </w:p>
    <w:p w14:paraId="28FBC1A9" w14:textId="77777777" w:rsidR="007905BB" w:rsidRP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Визначити час, за який забруднення від полігону ТПВ досягне водозабірної свердловини, розташованої на відстані 1000 м від полігону, якщо швидкість фільтрації підземних вод складає 0,5 м/добу.</w:t>
      </w:r>
    </w:p>
    <w:p w14:paraId="5D41388D" w14:textId="776D52BB" w:rsid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Побудувати графік зміни концентрації забруднюючої речовини у підземних водах з часом на різних відстанях від полігону ТПВ за заданими табличними даними.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1"/>
        <w:gridCol w:w="2104"/>
        <w:gridCol w:w="2162"/>
        <w:gridCol w:w="2162"/>
      </w:tblGrid>
      <w:tr w:rsidR="007905BB" w:rsidRPr="007905BB" w14:paraId="7229E251" w14:textId="77777777" w:rsidTr="00336A2C">
        <w:tc>
          <w:tcPr>
            <w:tcW w:w="0" w:type="auto"/>
            <w:vMerge w:val="restart"/>
            <w:vAlign w:val="center"/>
            <w:hideMark/>
          </w:tcPr>
          <w:p w14:paraId="3A6CC826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від початку експлуатації полігону, роки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5914C53" w14:textId="5CB926E6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Концентрація забруднюючої речовини, мг/дм3</w:t>
            </w:r>
          </w:p>
        </w:tc>
      </w:tr>
      <w:tr w:rsidR="007905BB" w:rsidRPr="007905BB" w14:paraId="4B69EAF1" w14:textId="77777777" w:rsidTr="007905BB">
        <w:tc>
          <w:tcPr>
            <w:tcW w:w="0" w:type="auto"/>
            <w:vMerge/>
            <w:vAlign w:val="center"/>
            <w:hideMark/>
          </w:tcPr>
          <w:p w14:paraId="4BDC3948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8E62BC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відстані 50 м від полігону</w:t>
            </w:r>
          </w:p>
        </w:tc>
        <w:tc>
          <w:tcPr>
            <w:tcW w:w="0" w:type="auto"/>
            <w:vAlign w:val="center"/>
            <w:hideMark/>
          </w:tcPr>
          <w:p w14:paraId="236EAF80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відстані 100 м від полігону</w:t>
            </w:r>
          </w:p>
        </w:tc>
        <w:tc>
          <w:tcPr>
            <w:tcW w:w="0" w:type="auto"/>
            <w:vAlign w:val="center"/>
            <w:hideMark/>
          </w:tcPr>
          <w:p w14:paraId="684F75DF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відстані 500 м від полігону</w:t>
            </w:r>
          </w:p>
        </w:tc>
      </w:tr>
      <w:tr w:rsidR="007905BB" w:rsidRPr="007905BB" w14:paraId="2D7B9684" w14:textId="77777777" w:rsidTr="007905BB">
        <w:tc>
          <w:tcPr>
            <w:tcW w:w="0" w:type="auto"/>
            <w:vAlign w:val="center"/>
            <w:hideMark/>
          </w:tcPr>
          <w:p w14:paraId="3966EDDA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BF96EB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0D7D3B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89FB54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05BB" w:rsidRPr="007905BB" w14:paraId="3BD2E32F" w14:textId="77777777" w:rsidTr="007905BB">
        <w:tc>
          <w:tcPr>
            <w:tcW w:w="0" w:type="auto"/>
            <w:vAlign w:val="center"/>
            <w:hideMark/>
          </w:tcPr>
          <w:p w14:paraId="794A06FD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FB0B3A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EA7886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1E9F53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5BB" w:rsidRPr="007905BB" w14:paraId="4107AE5C" w14:textId="77777777" w:rsidTr="007905BB">
        <w:tc>
          <w:tcPr>
            <w:tcW w:w="0" w:type="auto"/>
            <w:vAlign w:val="center"/>
            <w:hideMark/>
          </w:tcPr>
          <w:p w14:paraId="2462461C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287750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0761B6B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06AC2A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05BB" w:rsidRPr="007905BB" w14:paraId="126F9777" w14:textId="77777777" w:rsidTr="007905BB">
        <w:tc>
          <w:tcPr>
            <w:tcW w:w="0" w:type="auto"/>
            <w:vAlign w:val="center"/>
            <w:hideMark/>
          </w:tcPr>
          <w:p w14:paraId="5EB8D6DD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417B526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C8D5CFA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34CB7E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05BB" w:rsidRPr="007905BB" w14:paraId="621C6ED5" w14:textId="77777777" w:rsidTr="007905BB">
        <w:tc>
          <w:tcPr>
            <w:tcW w:w="0" w:type="auto"/>
            <w:vAlign w:val="center"/>
            <w:hideMark/>
          </w:tcPr>
          <w:p w14:paraId="5E1258EA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0E9FB0E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B50E6BC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59B078F0" w14:textId="77777777" w:rsidR="007905BB" w:rsidRPr="007905BB" w:rsidRDefault="007905BB" w:rsidP="007905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80BD0F6" w14:textId="77777777" w:rsidR="007905BB" w:rsidRPr="007905BB" w:rsidRDefault="007905BB" w:rsidP="00790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A234FFE" w14:textId="77777777" w:rsidR="007905BB" w:rsidRP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Розрахувати об'єм забруднених підземних вод у зоні впливу полігону ТПВ, якщо площа зони забруднення складає 10 га, а середня потужність забрудненої частини водоносного горизонту - 5 м.</w:t>
      </w:r>
    </w:p>
    <w:p w14:paraId="27C083CA" w14:textId="77777777" w:rsidR="007905BB" w:rsidRP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lastRenderedPageBreak/>
        <w:t>Створити схематичний рисунок, який ілюструє процес формування зони забруднення підземних вод від полігону ТПВ, вказавши основні напрямки руху забруднюючих речовин та межі зони забруднення.</w:t>
      </w:r>
    </w:p>
    <w:p w14:paraId="17D410A2" w14:textId="77777777" w:rsidR="007905BB" w:rsidRDefault="007905BB" w:rsidP="007905B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Проаналізувати вплив різних факторів (склад відходів, гідрогеологічні умови, наявність протифільтраційних екранів тощо) на розміри зони забруднення підземних вод від полігонів ТПВ, використовуючи дані з наукових публікацій або інтернет-джерел.</w:t>
      </w:r>
    </w:p>
    <w:p w14:paraId="4F17929B" w14:textId="70B98299" w:rsidR="00D23056" w:rsidRPr="005A6089" w:rsidRDefault="00D23056" w:rsidP="007905BB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6F201B50" w14:textId="77777777" w:rsidR="007905BB" w:rsidRPr="007905BB" w:rsidRDefault="007905BB" w:rsidP="00790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Які основні забруднюючі речовини можуть надходити до підземних вод від полігонів ТПВ?</w:t>
      </w:r>
    </w:p>
    <w:p w14:paraId="3DC4CEAA" w14:textId="77777777" w:rsidR="007905BB" w:rsidRPr="007905BB" w:rsidRDefault="007905BB" w:rsidP="00790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Як гідрогеологічні умови впливають на розміри зони забруднення підземних вод від полігонів ТПВ?</w:t>
      </w:r>
    </w:p>
    <w:p w14:paraId="42391A50" w14:textId="77777777" w:rsidR="007905BB" w:rsidRPr="007905BB" w:rsidRDefault="007905BB" w:rsidP="00790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Які методи використовуються для моніторингу забруднення підземних вод у зоні впливу полігонів ТПВ?</w:t>
      </w:r>
    </w:p>
    <w:p w14:paraId="7B7DACAB" w14:textId="23B33EA3" w:rsidR="009E66C8" w:rsidRPr="00D23056" w:rsidRDefault="007905BB" w:rsidP="007905B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BB">
        <w:rPr>
          <w:rFonts w:ascii="Times New Roman" w:hAnsi="Times New Roman" w:cs="Times New Roman"/>
          <w:sz w:val="28"/>
          <w:szCs w:val="28"/>
        </w:rPr>
        <w:t>Які інженерні заходи можуть бути застосовані для запобігання забрудненню підземних вод від полігонів ТПВ?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527BC5"/>
    <w:rsid w:val="005544FC"/>
    <w:rsid w:val="005A6089"/>
    <w:rsid w:val="00621A10"/>
    <w:rsid w:val="007905BB"/>
    <w:rsid w:val="009B047A"/>
    <w:rsid w:val="00A25731"/>
    <w:rsid w:val="00BD50DF"/>
    <w:rsid w:val="00CC529D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2025-01-12T19:42:00Z</dcterms:created>
  <dcterms:modified xsi:type="dcterms:W3CDTF">2025-01-12T19:42:00Z</dcterms:modified>
</cp:coreProperties>
</file>