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40AD0" w14:textId="77777777" w:rsidR="002F3E47" w:rsidRPr="002F3E47" w:rsidRDefault="00843A5B" w:rsidP="002F3E47">
      <w:pPr>
        <w:tabs>
          <w:tab w:val="left" w:leader="dot" w:pos="8363"/>
        </w:tabs>
        <w:spacing w:line="240" w:lineRule="auto"/>
        <w:ind w:firstLine="539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</w:pPr>
      <w:r w:rsidRPr="00843A5B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  <w:t>Лекція </w:t>
      </w:r>
      <w:r w:rsidR="002F3E47" w:rsidRPr="002F3E4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  <w:t>10</w:t>
      </w:r>
      <w:r w:rsidRPr="00843A5B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  <w:t>. </w:t>
      </w:r>
      <w:r w:rsidR="002F3E47" w:rsidRPr="002F3E4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  <w:t xml:space="preserve">Хмарні сервіси. Приватні та публічні хмари. Використання хмарних сервісів. Особливості </w:t>
      </w:r>
      <w:proofErr w:type="spellStart"/>
      <w:r w:rsidR="002F3E47" w:rsidRPr="002F3E4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  <w:t>Azure</w:t>
      </w:r>
      <w:proofErr w:type="spellEnd"/>
      <w:r w:rsidR="002F3E47" w:rsidRPr="002F3E4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  <w:t xml:space="preserve">, AWS, </w:t>
      </w:r>
      <w:proofErr w:type="spellStart"/>
      <w:r w:rsidR="002F3E47" w:rsidRPr="002F3E4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  <w:t>Google</w:t>
      </w:r>
      <w:proofErr w:type="spellEnd"/>
      <w:r w:rsidR="002F3E47" w:rsidRPr="002F3E4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  <w:t xml:space="preserve">. </w:t>
      </w:r>
    </w:p>
    <w:p w14:paraId="7E74A188" w14:textId="2EAA588E" w:rsidR="00843A5B" w:rsidRPr="002F3E47" w:rsidRDefault="00843A5B" w:rsidP="002F3E47">
      <w:pPr>
        <w:tabs>
          <w:tab w:val="left" w:leader="dot" w:pos="8363"/>
        </w:tabs>
        <w:spacing w:line="240" w:lineRule="auto"/>
        <w:ind w:firstLine="539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</w:pPr>
    </w:p>
    <w:p w14:paraId="1A34F0C8" w14:textId="77777777" w:rsidR="002F3E47" w:rsidRDefault="00843A5B" w:rsidP="002F3E47">
      <w:pPr>
        <w:pStyle w:val="2"/>
        <w:shd w:val="clear" w:color="auto" w:fill="FFFFFF"/>
        <w:spacing w:before="0" w:line="656" w:lineRule="atLeast"/>
        <w:jc w:val="center"/>
        <w:rPr>
          <w:rFonts w:ascii="Arial" w:hAnsi="Arial" w:cs="Arial"/>
          <w:color w:val="000712"/>
          <w:sz w:val="57"/>
          <w:szCs w:val="57"/>
        </w:rPr>
      </w:pPr>
      <w:r w:rsidRPr="002F3E47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  <w:t> </w:t>
      </w:r>
      <w:r w:rsidR="002F3E47">
        <w:rPr>
          <w:rFonts w:ascii="Arial" w:hAnsi="Arial" w:cs="Arial"/>
          <w:color w:val="000712"/>
          <w:sz w:val="28"/>
          <w:szCs w:val="28"/>
          <w:bdr w:val="none" w:sz="0" w:space="0" w:color="auto" w:frame="1"/>
        </w:rPr>
        <w:t>Що таке хмара?</w:t>
      </w:r>
    </w:p>
    <w:p w14:paraId="7C05FB86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Термін “хмара” (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) в контексті інформаційних технологій вказує на хмарні обчислення або хмарні сервіси. Це означає використання обчислювальних ресурсів, таких як обчислювальна потужність, зберігання даних та програмне забезпечення, які надаються через Інтернет.</w:t>
      </w:r>
    </w:p>
    <w:p w14:paraId="0C8F3FD7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У вигляді простого порівняння, ви можете уявити “хмару” як велике централізоване місце, де ви можете отримувати доступ до різних послуг і ресурсів за допомогою Інтернету, подібно тому, як ви можете отримувати доступ до води чи електроенергії з централізованих мереж. </w:t>
      </w:r>
    </w:p>
    <w:p w14:paraId="6E90CDD4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В хмарному обчисленні користувачі не повинні прямо володіти або управляти фізичним обладнанням; замість цього, вони можуть використовувати ресурси за потребою та платити лише за фактичне використання.</w:t>
      </w:r>
    </w:p>
    <w:p w14:paraId="44353D18" w14:textId="3769662B" w:rsidR="002F3E47" w:rsidRDefault="002F3E47" w:rsidP="002F3E4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712"/>
          <w:sz w:val="21"/>
          <w:szCs w:val="21"/>
        </w:rPr>
      </w:pPr>
      <w:r>
        <w:rPr>
          <w:rFonts w:ascii="Arial" w:hAnsi="Arial" w:cs="Arial"/>
          <w:color w:val="000712"/>
          <w:sz w:val="21"/>
          <w:szCs w:val="21"/>
        </w:rPr>
        <w:t> </w:t>
      </w:r>
    </w:p>
    <w:p w14:paraId="5BAFB7EE" w14:textId="77777777" w:rsidR="002F3E47" w:rsidRPr="002F3E47" w:rsidRDefault="002F3E47" w:rsidP="002F3E47">
      <w:pPr>
        <w:pStyle w:val="2"/>
        <w:shd w:val="clear" w:color="auto" w:fill="FFFFFF"/>
        <w:spacing w:before="0" w:line="656" w:lineRule="atLeast"/>
        <w:jc w:val="center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Історія </w:t>
      </w:r>
      <w:r w:rsidRPr="002F3E47">
        <w:rPr>
          <w:rStyle w:val="a9"/>
          <w:rFonts w:ascii="Arial" w:hAnsi="Arial"/>
        </w:rPr>
        <w:t>виникнення</w:t>
      </w:r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хмарних технологій</w:t>
      </w:r>
    </w:p>
    <w:p w14:paraId="7F300C7C" w14:textId="77777777" w:rsidR="002F3E47" w:rsidRP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Історія хмарних технологій почалася в 1960-х роках з ідеї "обчислювального утилітаризму" Джона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Маккарті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але основний розвиток відбувся на початку 2000-х. Компанії, такі як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Amazon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і Microsoft, почали надавати обчислювальні ресурси та послуги зберігання даних через Інтернет.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Amazon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Web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Services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запущений у 2002 році, став одним із перших хмарних сервісів. Пізніше з'явилися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і Microsoft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Azure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що пропонують нові можливості для роботи з даними і додатками. Згодом хмарні технології розширили свої функції, включивши машинне навчання, великі дані та інтернет речей, що сприяло їхній популярності в різних сферах. Важливим аспектом розвитку стало поліпшення безпеки та </w:t>
      </w:r>
      <w:proofErr w:type="spellStart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приватності</w:t>
      </w:r>
      <w:proofErr w:type="spellEnd"/>
      <w:r w:rsidRPr="002F3E4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даних.</w:t>
      </w:r>
    </w:p>
    <w:p w14:paraId="618157A9" w14:textId="77777777" w:rsidR="002F3E47" w:rsidRP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</w:p>
    <w:p w14:paraId="49759DF5" w14:textId="20F82B25" w:rsidR="002F3E47" w:rsidRDefault="002F3E47" w:rsidP="002F3E47">
      <w:pPr>
        <w:pStyle w:val="2"/>
        <w:shd w:val="clear" w:color="auto" w:fill="FFFFFF"/>
        <w:spacing w:before="0" w:line="656" w:lineRule="atLeast"/>
        <w:jc w:val="center"/>
        <w:rPr>
          <w:rStyle w:val="a9"/>
          <w:rFonts w:ascii="Arial" w:hAnsi="Arial" w:cs="Arial"/>
          <w:b w:val="0"/>
          <w:bCs w:val="0"/>
          <w:color w:val="000712"/>
          <w:sz w:val="28"/>
          <w:szCs w:val="28"/>
          <w:bdr w:val="none" w:sz="0" w:space="0" w:color="auto" w:frame="1"/>
        </w:rPr>
      </w:pPr>
      <w:r>
        <w:rPr>
          <w:rStyle w:val="a9"/>
          <w:rFonts w:ascii="Arial" w:hAnsi="Arial" w:cs="Arial"/>
          <w:b w:val="0"/>
          <w:bCs w:val="0"/>
          <w:color w:val="000712"/>
          <w:sz w:val="28"/>
          <w:szCs w:val="28"/>
          <w:bdr w:val="none" w:sz="0" w:space="0" w:color="auto" w:frame="1"/>
        </w:rPr>
        <w:t>Які сервіси належать до хмарних?</w:t>
      </w:r>
    </w:p>
    <w:p w14:paraId="6B9BF943" w14:textId="59B682D6" w:rsidR="00525837" w:rsidRDefault="00525837" w:rsidP="00525837"/>
    <w:p w14:paraId="49C6438D" w14:textId="5A6577E9" w:rsidR="00525837" w:rsidRPr="00525837" w:rsidRDefault="00525837" w:rsidP="00525837">
      <w:r>
        <w:rPr>
          <w:noProof/>
        </w:rPr>
        <w:lastRenderedPageBreak/>
        <w:drawing>
          <wp:inline distT="0" distB="0" distL="0" distR="0" wp14:anchorId="7CC86EDE" wp14:editId="5D4C966A">
            <wp:extent cx="5940425" cy="3111500"/>
            <wp:effectExtent l="0" t="0" r="3175" b="0"/>
            <wp:docPr id="2" name="Рисунок 2" descr="https://pupenasan.github.io/TI40/%D0%9B%D0%B5%D0%BA%D1%86/cloudmedia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upenasan.github.io/TI40/%D0%9B%D0%B5%D0%BA%D1%86/cloudmedia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398A7C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Хмарні сервіси поділяються на кілька основних категорій в залежності від наданих функцій. Основні категорії хмарних сервісів включають:</w:t>
      </w:r>
    </w:p>
    <w:p w14:paraId="3C72FAF0" w14:textId="60589B02" w:rsidR="0085797E" w:rsidRPr="0085797E" w:rsidRDefault="0085797E" w:rsidP="0085797E">
      <w:pPr>
        <w:pStyle w:val="a3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Інфраструктура як послуга (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IaaS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)</w:t>
      </w:r>
    </w:p>
    <w:p w14:paraId="22119B89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Опис: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IaaS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надає базові обчислювальні ресурси, такі як віртуальні машини, мережі, сховища і сервери, через інтернет.</w:t>
      </w:r>
    </w:p>
    <w:p w14:paraId="1888A226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Приклади: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Amazon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Web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Services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(AWS), Microsoft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Azure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Platform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(GCP).</w:t>
      </w:r>
    </w:p>
    <w:p w14:paraId="4CC15B4E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Переваги: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IaaS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дає змогу користувачам уникати витрат і складнощів, пов'язаних із купівлею та обслуговуванням власних фізичних серверів. Це також забезпечує гнучкість в управлінні та масштабуванні ІТ-ресурсів.</w:t>
      </w:r>
    </w:p>
    <w:p w14:paraId="30D88E76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Використання: Ідеально підходить для компаній, яким потрібен контроль над своєю інфраструктурою, але які хочуть уникнути значних витрат на її придбання та підтримку.</w:t>
      </w:r>
    </w:p>
    <w:p w14:paraId="7EDE1782" w14:textId="16806F6A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  <w:lang w:val="en-US"/>
        </w:rPr>
        <w:t xml:space="preserve">2. </w:t>
      </w: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Платформа як послуга (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PaaS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)</w:t>
      </w:r>
    </w:p>
    <w:p w14:paraId="2938E3D8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Опис: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PaaS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надає середовище для розробки, тестування, доставки та управління програмним забезпеченням. Це включає інструменти розробки, управління базами даних, середовища виконання і багато іншого.</w:t>
      </w:r>
    </w:p>
    <w:p w14:paraId="068994A3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Приклади: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Heroku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App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Engine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Microsoft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Azure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App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Services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.</w:t>
      </w:r>
    </w:p>
    <w:p w14:paraId="6717E969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Переваги: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PaaS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полегшує розробникам створення застосунків, зменшуючи складність налаштування та управління базовою інфраструктурою. Це сприяє швидшій та ефективнішій розробці.</w:t>
      </w:r>
    </w:p>
    <w:p w14:paraId="1B6243D4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Використання: Особливо корисно для розробників і команд, які хочуть зосередитися на створенні програмного забезпечення, мінімізуючи турботи про управління інфраструктурою.</w:t>
      </w:r>
    </w:p>
    <w:p w14:paraId="23D0D7F6" w14:textId="493F01D2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  <w:lang w:val="ru-RU"/>
        </w:rPr>
        <w:t xml:space="preserve">3. </w:t>
      </w: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Програмне забезпечення як послуга (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SaaS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)</w:t>
      </w:r>
    </w:p>
    <w:p w14:paraId="1DF9B7D5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lastRenderedPageBreak/>
        <w:t xml:space="preserve">Опис: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SaaS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- це модель доставки додатків через Інтернет, де клієнти можуть отримувати доступ до програмного забезпечення та його функцій віддалено.</w:t>
      </w:r>
    </w:p>
    <w:p w14:paraId="100E3A74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Приклади: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Workspace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Microsoft Office 365,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Salesforce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.</w:t>
      </w:r>
    </w:p>
    <w:p w14:paraId="0CE51FFA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Переваги: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SaaS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усуває необхідність встановлення та запуску застосунків на індивідуальних комп'ютерах, полегшуючи таким чином управління та підтримку програмного забезпечення.</w:t>
      </w:r>
    </w:p>
    <w:p w14:paraId="4D087743" w14:textId="77777777" w:rsidR="0085797E" w:rsidRPr="0085797E" w:rsidRDefault="0085797E" w:rsidP="0085797E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Використання: Підходить для бізнес-додатків, як-от електронна пошта, управління відносинами з клієнтами (CRM) і управління </w:t>
      </w:r>
      <w:proofErr w:type="spellStart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проєктами</w:t>
      </w:r>
      <w:proofErr w:type="spellEnd"/>
      <w:r w:rsidRPr="0085797E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, де централізоване управління і доступність є ключовими.</w:t>
      </w:r>
    </w:p>
    <w:p w14:paraId="54745979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4. Хмарні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зберігальні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системи: ці сервіси дозволяють зберігати та керувати даними в хмарі, надаючи можливість резервного копіювання, синхронізації та спільного використання файлів.</w:t>
      </w:r>
    </w:p>
    <w:p w14:paraId="0E994E07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5. Хмарні послуги обробки даних: ці послуги дозволяють виконувати обробку та аналіз даних в хмарі, зазвичай за допомогою спеціалізованих інструментів та фреймворків.</w:t>
      </w:r>
    </w:p>
    <w:p w14:paraId="2A531891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6. Хмарні послуги для розробників (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DevOps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): ці сервіси дозволяють розробникам та командам управляти, автоматизувати та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моніторити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різні етапи розробки програмного забезпечення.</w:t>
      </w:r>
    </w:p>
    <w:p w14:paraId="50E24B17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Це лише загальні категорії, і в межах кожної з них існують конкретні сервіси від різних постачальників, таких як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Amazon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Web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Services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(AWS), Microsoft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Azure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Platform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(GCP) та інші. Такий варіант розглянемо на прикладі сервісів, які належать до хмарних сервісів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.</w:t>
      </w:r>
    </w:p>
    <w:p w14:paraId="5B65CD13" w14:textId="14679816" w:rsidR="00843A5B" w:rsidRDefault="00843A5B" w:rsidP="002F3E47">
      <w:pPr>
        <w:tabs>
          <w:tab w:val="left" w:leader="dot" w:pos="8363"/>
        </w:tabs>
        <w:spacing w:line="240" w:lineRule="auto"/>
        <w:ind w:firstLine="539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</w:pPr>
    </w:p>
    <w:p w14:paraId="64DE09AA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Platform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(GCP) пропонує різноманітні хмарні сервіси у різних категоріях, включаючи обчислення, зберігання, бази даних, машинне навчання, аналіз даних та інші.</w:t>
      </w:r>
    </w:p>
    <w:p w14:paraId="3525B140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Compute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Engine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(GCE) – це сервіс обчислювальної інфраструктури, який дозволяє користувачам створювати та запускати віртуальні машини в хмарному середовищі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.</w:t>
      </w:r>
    </w:p>
    <w:p w14:paraId="020DACB6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App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Engine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(GAE) – це платформа як сервіс (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PaaS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), яка надає можливість розробки та розгортання веб-додатків без необхідності управління інфраструктурою.</w:t>
      </w:r>
    </w:p>
    <w:p w14:paraId="61A76807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Storage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– це сервіс, що забезпечує зберігання та керування об’єктами даних в хмарі.</w:t>
      </w:r>
    </w:p>
    <w:p w14:paraId="6E4ED14C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SQL – це адміністрування баз даних у хмарі, яке надає послуги керування базами даних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MySQL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PostgreSQL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.</w:t>
      </w:r>
    </w:p>
    <w:p w14:paraId="60C05202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Bigtable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– це розподілена система керування даними для роботи з великими обсягами даних.</w:t>
      </w:r>
    </w:p>
    <w:p w14:paraId="4D170B3D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Spanner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– це горизонтально масштабована реляційна база даних, яка надає гармонію між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консистентністю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та горизонтальним масштабуванням.</w:t>
      </w:r>
    </w:p>
    <w:p w14:paraId="08170E50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Kubernetes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Engine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(GKE) – управління контейнерами на основі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Kubernetes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у хмарі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.</w:t>
      </w:r>
    </w:p>
    <w:p w14:paraId="778CBCCB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lastRenderedPageBreak/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Pub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/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Sub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– це служба для розподіленого обміну повідомлення між аплікаціями.</w:t>
      </w:r>
    </w:p>
    <w:p w14:paraId="6D33BE9D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Vision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API – це сервіс машинного зору, який дозволяє розпізнавання та аналіз зображень.</w:t>
      </w:r>
    </w:p>
    <w:p w14:paraId="75248B70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Speech-to-Text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та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Text-to-Speech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API –  сервіси перетворення мовлення в текст та навпаки.</w:t>
      </w:r>
    </w:p>
    <w:p w14:paraId="16063203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Machine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Learning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Engine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– сервіс для створення та тренування моделей машинного навчання.</w:t>
      </w:r>
    </w:p>
    <w:p w14:paraId="06B96D58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Dataflow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– сервіс для реалізації потокового та пакетного аналізу даних.</w:t>
      </w:r>
    </w:p>
    <w:p w14:paraId="12A46AB1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Це лише декілька прикладів хмарних сервісів, які пропонуються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. Компанія постійно розширює свій набір хмарних послуг, щоб задовольняти різноманітні потреби користувачів та бізнесів.</w:t>
      </w:r>
    </w:p>
    <w:p w14:paraId="489DB1BC" w14:textId="77777777" w:rsidR="002F3E47" w:rsidRDefault="002F3E47" w:rsidP="002F3E4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712"/>
          <w:sz w:val="21"/>
          <w:szCs w:val="21"/>
        </w:rPr>
      </w:pPr>
      <w:r>
        <w:rPr>
          <w:rFonts w:ascii="Arial" w:hAnsi="Arial" w:cs="Arial"/>
          <w:color w:val="000712"/>
          <w:sz w:val="21"/>
          <w:szCs w:val="21"/>
        </w:rPr>
        <w:t> </w:t>
      </w:r>
    </w:p>
    <w:p w14:paraId="64B8644B" w14:textId="77777777" w:rsidR="002F3E47" w:rsidRDefault="002F3E47" w:rsidP="002F3E47">
      <w:pPr>
        <w:pStyle w:val="2"/>
        <w:shd w:val="clear" w:color="auto" w:fill="FFFFFF"/>
        <w:spacing w:before="0" w:line="656" w:lineRule="atLeast"/>
        <w:jc w:val="center"/>
        <w:rPr>
          <w:rFonts w:ascii="Arial" w:hAnsi="Arial" w:cs="Arial"/>
          <w:color w:val="000712"/>
          <w:sz w:val="57"/>
          <w:szCs w:val="57"/>
        </w:rPr>
      </w:pPr>
      <w:r>
        <w:rPr>
          <w:rFonts w:ascii="Arial" w:hAnsi="Arial" w:cs="Arial"/>
          <w:color w:val="000712"/>
          <w:sz w:val="28"/>
          <w:szCs w:val="28"/>
          <w:bdr w:val="none" w:sz="0" w:space="0" w:color="auto" w:frame="1"/>
        </w:rPr>
        <w:t>Моделі розгортання хмарних технологій</w:t>
      </w:r>
    </w:p>
    <w:p w14:paraId="10EC79C6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Моделі розгортання хмарних технологій описують, де і як саме знаходяться обчислювальні ресурси, які використовуються у хмарі. </w:t>
      </w:r>
    </w:p>
    <w:p w14:paraId="5B086351" w14:textId="4877CFBD" w:rsidR="002F3E47" w:rsidRDefault="002F3E47" w:rsidP="002F3E4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712"/>
          <w:sz w:val="21"/>
          <w:szCs w:val="21"/>
        </w:rPr>
      </w:pPr>
      <w:r>
        <w:rPr>
          <w:rFonts w:ascii="Arial" w:hAnsi="Arial" w:cs="Arial"/>
          <w:noProof/>
          <w:color w:val="000712"/>
          <w:sz w:val="21"/>
          <w:szCs w:val="21"/>
        </w:rPr>
        <w:drawing>
          <wp:inline distT="0" distB="0" distL="0" distR="0" wp14:anchorId="56B124CF" wp14:editId="313B3BF4">
            <wp:extent cx="5940425" cy="2526665"/>
            <wp:effectExtent l="0" t="0" r="3175" b="6985"/>
            <wp:docPr id="1" name="Рисунок 1" descr="Моделі розгортання хмарних технологі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елі розгортання хмарних технологі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6F1B7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712"/>
          <w:sz w:val="21"/>
          <w:szCs w:val="21"/>
        </w:rPr>
      </w:pPr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Публічна хмара (</w:t>
      </w: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Public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)</w:t>
      </w:r>
    </w:p>
    <w:p w14:paraId="3003EAC6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Публічна хмара (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Public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) – це модель хмарних обчислень, при якій обчислювальні ресурси, такі як сервери, сховища даних і програмне забезпечення, надаються зовнішнім постачальником хмарних послуг і доступні для громадського використання через Інтернет.</w:t>
      </w:r>
    </w:p>
    <w:p w14:paraId="52DBD64E" w14:textId="77777777" w:rsidR="00525837" w:rsidRPr="00525837" w:rsidRDefault="002F3E47" w:rsidP="0052583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Публічні хмарні постачальники включають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Amazon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Web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Services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(AWS), Microsoft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Azure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Google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Platform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(GCP)</w:t>
      </w:r>
      <w:r w:rsidR="00525837" w:rsidRPr="00525837"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, </w:t>
      </w:r>
      <w:hyperlink r:id="rId7" w:history="1">
        <w:r w:rsidR="00525837" w:rsidRPr="00525837">
          <w:rPr>
            <w:rFonts w:ascii="Georgia" w:hAnsi="Georgia" w:cs="Arial"/>
            <w:color w:val="000712"/>
            <w:sz w:val="28"/>
            <w:szCs w:val="28"/>
            <w:bdr w:val="none" w:sz="0" w:space="0" w:color="auto" w:frame="1"/>
          </w:rPr>
          <w:t xml:space="preserve">IBM </w:t>
        </w:r>
        <w:proofErr w:type="spellStart"/>
        <w:r w:rsidR="00525837" w:rsidRPr="00525837">
          <w:rPr>
            <w:rFonts w:ascii="Georgia" w:hAnsi="Georgia" w:cs="Arial"/>
            <w:color w:val="000712"/>
            <w:sz w:val="28"/>
            <w:szCs w:val="28"/>
            <w:bdr w:val="none" w:sz="0" w:space="0" w:color="auto" w:frame="1"/>
          </w:rPr>
          <w:t>Cloud</w:t>
        </w:r>
        <w:proofErr w:type="spellEnd"/>
      </w:hyperlink>
    </w:p>
    <w:p w14:paraId="56B9622D" w14:textId="77777777" w:rsidR="00525837" w:rsidRPr="00525837" w:rsidRDefault="00525837" w:rsidP="0052583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</w:pPr>
      <w:hyperlink r:id="rId8" w:history="1">
        <w:proofErr w:type="spellStart"/>
        <w:r w:rsidRPr="00525837">
          <w:rPr>
            <w:rFonts w:ascii="Georgia" w:hAnsi="Georgia" w:cs="Arial"/>
            <w:color w:val="000712"/>
            <w:sz w:val="28"/>
            <w:szCs w:val="28"/>
            <w:bdr w:val="none" w:sz="0" w:space="0" w:color="auto" w:frame="1"/>
          </w:rPr>
          <w:t>Alibaba</w:t>
        </w:r>
        <w:proofErr w:type="spellEnd"/>
        <w:r w:rsidRPr="00525837">
          <w:rPr>
            <w:rFonts w:ascii="Georgia" w:hAnsi="Georgia" w:cs="Arial"/>
            <w:color w:val="000712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525837">
          <w:rPr>
            <w:rFonts w:ascii="Georgia" w:hAnsi="Georgia" w:cs="Arial"/>
            <w:color w:val="000712"/>
            <w:sz w:val="28"/>
            <w:szCs w:val="28"/>
            <w:bdr w:val="none" w:sz="0" w:space="0" w:color="auto" w:frame="1"/>
          </w:rPr>
          <w:t>Cloud</w:t>
        </w:r>
        <w:proofErr w:type="spellEnd"/>
      </w:hyperlink>
    </w:p>
    <w:p w14:paraId="215279FC" w14:textId="5A9E0A23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та інших. Ця модель хмарних обчислень є популярною для організацій та користувачів, які шукають гнучкість та можливість використовувати ресурси за потребою.</w:t>
      </w:r>
    </w:p>
    <w:p w14:paraId="741E7A08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Основні риси публічної хмари включають:</w:t>
      </w:r>
    </w:p>
    <w:p w14:paraId="503C7BAB" w14:textId="77777777" w:rsidR="002F3E47" w:rsidRDefault="002F3E47" w:rsidP="002F3E4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lastRenderedPageBreak/>
        <w:t>Доступність через Інтернет: обчислювальні ресурси розташовані у централізованому місці і доступні для користувачів через Інтернет.</w:t>
      </w:r>
    </w:p>
    <w:p w14:paraId="3B612537" w14:textId="77777777" w:rsidR="002F3E47" w:rsidRDefault="002F3E47" w:rsidP="002F3E4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Доступність для громадського використання: ресурси можуть бути використані різними користувачами та організаціями, які мають доступ до послуг постачальника хмар.</w:t>
      </w:r>
    </w:p>
    <w:p w14:paraId="18DD7D82" w14:textId="77777777" w:rsidR="002F3E47" w:rsidRDefault="002F3E47" w:rsidP="002F3E4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Масштабованість: публічна хмара надає можливість легко змінювати масштаби використання ресурсів в залежності від потреб користувачів.</w:t>
      </w:r>
    </w:p>
    <w:p w14:paraId="0424A57E" w14:textId="77777777" w:rsidR="002F3E47" w:rsidRDefault="002F3E47" w:rsidP="002F3E4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Пай-ас-ю-го (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Pay-as-You-Go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): користувачі платять лише за той обсяг ресурсів, який вони фактично використовують, що дозволяє ефективно використовувати бюджет.</w:t>
      </w:r>
    </w:p>
    <w:p w14:paraId="0CED8E45" w14:textId="77777777" w:rsidR="002F3E47" w:rsidRDefault="002F3E47" w:rsidP="002F3E4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Гнучкість та швидкість розгортання: запуск нових обчислювальних ресурсів може відбуватися швидко і з легкістю, що забезпечує гнучкість та швидкість у розгортанні інфраструктури.</w:t>
      </w:r>
    </w:p>
    <w:p w14:paraId="1077A916" w14:textId="77777777" w:rsidR="002F3E47" w:rsidRDefault="002F3E47" w:rsidP="002F3E4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712"/>
          <w:sz w:val="21"/>
          <w:szCs w:val="21"/>
        </w:rPr>
      </w:pPr>
      <w:r>
        <w:rPr>
          <w:rFonts w:ascii="Arial" w:hAnsi="Arial" w:cs="Arial"/>
          <w:color w:val="000712"/>
          <w:sz w:val="21"/>
          <w:szCs w:val="21"/>
        </w:rPr>
        <w:t> </w:t>
      </w:r>
    </w:p>
    <w:p w14:paraId="599E776C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712"/>
          <w:sz w:val="21"/>
          <w:szCs w:val="21"/>
        </w:rPr>
      </w:pPr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Приватна хмара (</w:t>
      </w: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Private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)</w:t>
      </w:r>
    </w:p>
    <w:p w14:paraId="2F58608C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Приватна хмара – це модель обчислення у хмарі, при якій хмарні обчислювальні ресурси використовуються виключно для одного організаційного суб’єкта. У порівнянні з публічною хмарою, де ресурси надаються через Інтернет для громадського використання, приватна хмара зазвичай знаходиться в середовищі, контрольованому та управляється організацією.</w:t>
      </w:r>
    </w:p>
    <w:p w14:paraId="6C7CAD6E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Основні характеристики приватної хмари включають:</w:t>
      </w:r>
    </w:p>
    <w:p w14:paraId="0616353F" w14:textId="77777777" w:rsidR="002F3E47" w:rsidRDefault="002F3E47" w:rsidP="002F3E4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Власна інфраструктура: організація володіє та управляє власними фізичними або віртуальними серверами,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зберігальними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пристроями та іншою обчислювальною інфраструктурою.</w:t>
      </w:r>
    </w:p>
    <w:p w14:paraId="1D05751A" w14:textId="77777777" w:rsidR="002F3E47" w:rsidRDefault="002F3E47" w:rsidP="002F3E4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Внутрішня мережа: ресурси приватної хмари зазвичай розгортаються в межах внутрішньої мережі організації, що може забезпечувати більший контроль над безпекою та забезпеченням.</w:t>
      </w:r>
    </w:p>
    <w:p w14:paraId="756A174C" w14:textId="77777777" w:rsidR="002F3E47" w:rsidRDefault="002F3E47" w:rsidP="002F3E4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Закритий доступ: доступ до приватної хмари зазвичай обмежений для членів організації, що забезпечує додатковий рівень безпеки.</w:t>
      </w:r>
    </w:p>
    <w:p w14:paraId="020CA8F0" w14:textId="77777777" w:rsidR="002F3E47" w:rsidRDefault="002F3E47" w:rsidP="002F3E4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Високий рівень контролю: організація має повний контроль над обчислювальними ресурсами, мережевою інфраструктурою та зберіганням даних у своїй приватній хмарі.</w:t>
      </w:r>
    </w:p>
    <w:p w14:paraId="3AB9A913" w14:textId="77777777" w:rsidR="002F3E47" w:rsidRDefault="002F3E47" w:rsidP="002F3E4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Можливість встановлення власних політик безпеки та стандартів: організація може встановлювати власні політики безпеки, використовувати власні стандарти та враховувати власні вимоги щодо дотримання регуляторних вимог.</w:t>
      </w:r>
    </w:p>
    <w:p w14:paraId="7F9805FB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Приватні хмарні рішення можуть бути використані організаціями з високими вимогами до безпеки, які мають чутливі дані або дотримуються строгих регуляторних вимог. Однак це також може вимагати значних витрат на побудову та управління власною інфраструктурою.</w:t>
      </w:r>
    </w:p>
    <w:p w14:paraId="062A7B5A" w14:textId="77777777" w:rsidR="002F3E47" w:rsidRDefault="002F3E47" w:rsidP="002F3E4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712"/>
          <w:sz w:val="21"/>
          <w:szCs w:val="21"/>
        </w:rPr>
      </w:pPr>
      <w:r>
        <w:rPr>
          <w:rFonts w:ascii="Arial" w:hAnsi="Arial" w:cs="Arial"/>
          <w:color w:val="000712"/>
          <w:sz w:val="21"/>
          <w:szCs w:val="21"/>
        </w:rPr>
        <w:t> </w:t>
      </w:r>
    </w:p>
    <w:p w14:paraId="26CAE744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712"/>
          <w:sz w:val="21"/>
          <w:szCs w:val="21"/>
        </w:rPr>
      </w:pPr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lastRenderedPageBreak/>
        <w:t>Гібридна хмара (</w:t>
      </w: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Hybrid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)</w:t>
      </w:r>
    </w:p>
    <w:p w14:paraId="5116DEB0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Гібридна хмара — це модель хмарних обчислень, яка поєднує елементи приватної та публічної хмари, дозволяючи обмінювати дані та додатки між ними. Вона надає більше гнучкості і варіантів для розгортання інфраструктури в порівнянні з традиційними моделями приватної чи публічної хмари.</w:t>
      </w:r>
    </w:p>
    <w:p w14:paraId="7569EE9C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Основні характеристики гібридної хмари включають:</w:t>
      </w:r>
    </w:p>
    <w:p w14:paraId="7BF3CD5B" w14:textId="77777777" w:rsidR="002F3E47" w:rsidRDefault="002F3E47" w:rsidP="002F3E4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Об’єднання приватних та публічних ресурсів: гібридна хмара дозволяє організаціям використовувати як власні (приватні) обчислювальні ресурси, так і послуги публічної хмари, в залежності від конкретних потреб та вимог.</w:t>
      </w:r>
    </w:p>
    <w:p w14:paraId="531A1178" w14:textId="77777777" w:rsidR="002F3E47" w:rsidRDefault="002F3E47" w:rsidP="002F3E4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Обмін даними та додатками: дані та додатки можуть пересуватися між приватними і публічними середовищами в залежності від потреб бізнесу.</w:t>
      </w:r>
    </w:p>
    <w:p w14:paraId="2A1D1AB6" w14:textId="77777777" w:rsidR="002F3E47" w:rsidRDefault="002F3E47" w:rsidP="002F3E4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Гнучкість та масштабованість: гібридна модель дозволяє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гнучко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розширювати або зменшувати використання ресурсів в залежності від змінних потреб організації.</w:t>
      </w:r>
    </w:p>
    <w:p w14:paraId="39968418" w14:textId="77777777" w:rsidR="002F3E47" w:rsidRDefault="002F3E47" w:rsidP="002F3E4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Пай-ас-ю-го (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Pay-as-You-Go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): користувачі можуть платити лише за фактичне використання ресурсів у публічній хмарі, що забезпечує ефективне використання бюджету.</w:t>
      </w:r>
    </w:p>
    <w:p w14:paraId="5E566D99" w14:textId="77777777" w:rsidR="002F3E47" w:rsidRDefault="002F3E47" w:rsidP="002F3E4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Більший контроль за безпекою: організації можуть тримати більший контроль над чутливими даними, розміщеними в приватній хмарі, тоді як менш чутливі завдання можуть бути виконані в публічній хмарі.</w:t>
      </w:r>
    </w:p>
    <w:p w14:paraId="34B78177" w14:textId="77777777" w:rsidR="002F3E47" w:rsidRDefault="002F3E47" w:rsidP="002F3E4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Резервне копіювання та відновлення: гібридна хмара дозволяє реалізувати ефективні стратегії резервного копіювання та відновлення, використовуючи як локальні, так і хмарні ресурси.</w:t>
      </w:r>
    </w:p>
    <w:p w14:paraId="7EEE87DF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Ця модель дозволяє бізнесам максимально використовувати переваги хмарних технологій, забезпечуючи при цьому більший контроль над даними та додатками, які можуть бути критичними для деяких галузей та регуляторних вимог.</w:t>
      </w:r>
    </w:p>
    <w:p w14:paraId="1FDF6775" w14:textId="77777777" w:rsidR="002F3E47" w:rsidRDefault="002F3E47" w:rsidP="002F3E4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712"/>
          <w:sz w:val="21"/>
          <w:szCs w:val="21"/>
        </w:rPr>
      </w:pPr>
      <w:r>
        <w:rPr>
          <w:rFonts w:ascii="Arial" w:hAnsi="Arial" w:cs="Arial"/>
          <w:color w:val="000712"/>
          <w:sz w:val="21"/>
          <w:szCs w:val="21"/>
        </w:rPr>
        <w:t> </w:t>
      </w:r>
    </w:p>
    <w:p w14:paraId="5890A747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712"/>
          <w:sz w:val="21"/>
          <w:szCs w:val="21"/>
        </w:rPr>
      </w:pPr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Спільна хмара (</w:t>
      </w: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Community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)</w:t>
      </w:r>
    </w:p>
    <w:p w14:paraId="406E3C57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Спільна хмара (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Community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) – це модель хмарних обчислень, в якій обчислювальні ресурси використовуються спільно кількома організаціями, які мають спільні інтереси або спільні вимоги. Ця модель може бути побудована для обслуговування певної галузі або спільноти користувачів з подібними потребами та вимогами.</w:t>
      </w:r>
    </w:p>
    <w:p w14:paraId="600D9E82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Основні характеристики спільної хмари включають:</w:t>
      </w:r>
    </w:p>
    <w:p w14:paraId="0586D751" w14:textId="77777777" w:rsidR="002F3E47" w:rsidRDefault="002F3E47" w:rsidP="002F3E4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Спільні інтереси або вимоги: організації, які використовують спільну хмару, можуть мати спільні інтереси, наприклад, у сферах безпеки, дотримання регуляторних вимог чи інші специфічні вимоги галузі.</w:t>
      </w:r>
    </w:p>
    <w:p w14:paraId="20FEFC18" w14:textId="77777777" w:rsidR="002F3E47" w:rsidRDefault="002F3E47" w:rsidP="002F3E4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Обмежений доступ: доступ до ресурсів може бути обмежений для членів спільноти, що дозволяє створювати спільне середовище для обчислювання.</w:t>
      </w:r>
    </w:p>
    <w:p w14:paraId="7119EB00" w14:textId="77777777" w:rsidR="002F3E47" w:rsidRDefault="002F3E47" w:rsidP="002F3E4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lastRenderedPageBreak/>
        <w:t>Ділена відповідальність: постачальник хмарних послуг може надавати обчислювальні ресурси та послуги, а учасники спільної хмари можуть ділитися відповідальністю за управління та безпеку.</w:t>
      </w:r>
    </w:p>
    <w:p w14:paraId="0A594761" w14:textId="77777777" w:rsidR="002F3E47" w:rsidRDefault="002F3E47" w:rsidP="002F3E4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Більший контроль за інфраструктурою: у порівнянні з публічною хмарою, спільна хмара може надати більший рівень контролю за інфраструктурою та безпекою.</w:t>
      </w:r>
    </w:p>
    <w:p w14:paraId="1E1408C4" w14:textId="77777777" w:rsidR="002F3E47" w:rsidRDefault="002F3E47" w:rsidP="002F3E47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Оптимізація ресурсів: в об’єднанні спільних зусиль можливе ефективне використання ресурсів та забезпечення їхньої оптимальної вартості.</w:t>
      </w:r>
    </w:p>
    <w:p w14:paraId="01A10759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Приклади використання спільної хмари можуть включати обчислювальні ресурси, які використовуються спільно групою підприємств у конкретній галузі, де є спільні вимоги до безпеки, обробки даних або інших аспектів хмарних послуг.</w:t>
      </w:r>
    </w:p>
    <w:p w14:paraId="19A38108" w14:textId="77777777" w:rsidR="002F3E47" w:rsidRDefault="002F3E47" w:rsidP="002F3E47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712"/>
          <w:sz w:val="21"/>
          <w:szCs w:val="21"/>
        </w:rPr>
      </w:pPr>
      <w:r>
        <w:rPr>
          <w:rFonts w:ascii="Arial" w:hAnsi="Arial" w:cs="Arial"/>
          <w:color w:val="000712"/>
          <w:sz w:val="21"/>
          <w:szCs w:val="21"/>
        </w:rPr>
        <w:t> </w:t>
      </w:r>
    </w:p>
    <w:p w14:paraId="3099BD04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Мультихмара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Multi-Cloud</w:t>
      </w:r>
      <w:proofErr w:type="spellEnd"/>
      <w:r>
        <w:rPr>
          <w:rStyle w:val="a9"/>
          <w:rFonts w:ascii="Arial" w:hAnsi="Arial" w:cs="Arial"/>
          <w:color w:val="000712"/>
          <w:sz w:val="28"/>
          <w:szCs w:val="28"/>
          <w:bdr w:val="none" w:sz="0" w:space="0" w:color="auto" w:frame="1"/>
        </w:rPr>
        <w:t>)</w:t>
      </w:r>
    </w:p>
    <w:p w14:paraId="14F50EC5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Мультихмара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Multi-Cloud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) – це стратегія використання хмарних обчислень, при якій організація використовує послуги кількох різних постачальників хмарних послуг одночасно. Замість того, щоб полагоджуватися тільки на одного постачальника хмарних послуг, користувачі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мультихмари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можуть використовувати ресурси з різних хмарних середовищ для різних завдань або додатків.</w:t>
      </w:r>
    </w:p>
    <w:p w14:paraId="18446244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Основні ідеї та характеристики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мультихмари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включають:</w:t>
      </w:r>
    </w:p>
    <w:p w14:paraId="127A7980" w14:textId="77777777" w:rsidR="002F3E47" w:rsidRDefault="002F3E47" w:rsidP="002F3E4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Гнучкість і гетерогенність: здатність використовувати різні хмарні середовища для різних завдань, враховуючи їхні специфічні потреби.</w:t>
      </w:r>
    </w:p>
    <w:p w14:paraId="7F93D476" w14:textId="77777777" w:rsidR="002F3E47" w:rsidRDefault="002F3E47" w:rsidP="002F3E4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Зменшення ризику та надійність: у разі виникнення проблем або недоступності одного постачальника, інші хмарні ресурси можуть бути використані для забезпечення безперебійності роботи.</w:t>
      </w:r>
    </w:p>
    <w:p w14:paraId="654ABAD3" w14:textId="77777777" w:rsidR="002F3E47" w:rsidRDefault="002F3E47" w:rsidP="002F3E4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Оптимізація вартості: вибір найбільш вигідних та ефективних хмарних ресурсів для конкретних завдань або різних частин бізнесу може допомогти оптимізувати витрати.</w:t>
      </w:r>
    </w:p>
    <w:p w14:paraId="7EEE0DEF" w14:textId="77777777" w:rsidR="002F3E47" w:rsidRDefault="002F3E47" w:rsidP="002F3E4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Співробітництво та інновації: використання ресурсів різних постачальників може сприяти інноваціям та співробітництву, оскільки організація може взаємодіяти з різними технологічними стеками та сервісами.</w:t>
      </w:r>
    </w:p>
    <w:p w14:paraId="0D998F80" w14:textId="77777777" w:rsidR="002F3E47" w:rsidRDefault="002F3E47" w:rsidP="002F3E4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Відсутність блокування постачальником: використання різних постачальників хмарних послуг може зменшити залежність від одного конкретного постачальника та надати більший контроль користувачам.</w:t>
      </w:r>
    </w:p>
    <w:p w14:paraId="5722D6C6" w14:textId="77777777" w:rsidR="002F3E47" w:rsidRDefault="002F3E47" w:rsidP="002F3E47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Кращий вибір для конкретних завдань: деякі хмарні постачальники можуть бути кращими для конкретних завдань, наприклад, один – для зберігання даних, інший – для обчислень тощо.</w:t>
      </w:r>
    </w:p>
    <w:p w14:paraId="6E964963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Хоча стратегія </w:t>
      </w: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мультихмари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може мати свої вигоди, такі як гнучкість та зниження ризику, вона також може потребувати більше управління та координації для забезпечення ефективності та безпеки.</w:t>
      </w:r>
    </w:p>
    <w:p w14:paraId="168A448B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lastRenderedPageBreak/>
        <w:t>Кожна з цих моделей має свої переваги та недоліки, і вибір конкретної моделі залежить від вимог організації, безпекових умов, бюджету та інших факторів.</w:t>
      </w:r>
    </w:p>
    <w:p w14:paraId="5174396C" w14:textId="77777777" w:rsidR="002F3E47" w:rsidRDefault="002F3E47" w:rsidP="002F3E47">
      <w:pPr>
        <w:pStyle w:val="2"/>
        <w:shd w:val="clear" w:color="auto" w:fill="FFFFFF"/>
        <w:spacing w:before="0" w:line="656" w:lineRule="atLeast"/>
        <w:jc w:val="center"/>
        <w:rPr>
          <w:rFonts w:ascii="Arial" w:hAnsi="Arial" w:cs="Arial"/>
          <w:color w:val="000712"/>
          <w:sz w:val="57"/>
          <w:szCs w:val="57"/>
        </w:rPr>
      </w:pPr>
      <w:r>
        <w:rPr>
          <w:rStyle w:val="a9"/>
          <w:rFonts w:ascii="Arial" w:hAnsi="Arial" w:cs="Arial"/>
          <w:b w:val="0"/>
          <w:bCs w:val="0"/>
          <w:color w:val="000712"/>
          <w:sz w:val="28"/>
          <w:szCs w:val="28"/>
          <w:bdr w:val="none" w:sz="0" w:space="0" w:color="auto" w:frame="1"/>
        </w:rPr>
        <w:t>Переваги хмарних технологій</w:t>
      </w:r>
    </w:p>
    <w:p w14:paraId="72CBD586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Хмарні технології мають численні переваги, які призводять до їх широкого використання в різних галузях. </w:t>
      </w:r>
    </w:p>
    <w:p w14:paraId="10CB6819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Гнучкість та масштабованість: користувачі можуть легко збільшувати або зменшувати використання ресурсів згідно зі змінними потребами. Це забезпечує гнучкість та можливість швидко реагувати на зміни обсягу роботи.</w:t>
      </w:r>
    </w:p>
    <w:p w14:paraId="666548A4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Ефективне використання ресурсів: хмарні постачальники можуть оптимізувати використання обладнання та забезпечити високий рівень ефективності в порівнянні з традиційними моделями власних серверів.</w:t>
      </w:r>
    </w:p>
    <w:p w14:paraId="56A0B94F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Доступність та надійність: великі хмарні платформи часто працюють на розподілених системах, що забезпечує високий рівень доступності та надійності послуг.</w:t>
      </w:r>
    </w:p>
    <w:p w14:paraId="6EF1DD98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Самообслуговування та автоматизація: користувачі можуть легко самостійно керувати ресурсами, запускати віртуальні машини, налаштовувати сервіси та автоматизувати багато процесів, що прискорює розгортання та управління інфраструктурою.</w:t>
      </w:r>
    </w:p>
    <w:p w14:paraId="4FCEFE83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Економія витрат: відсутність необхідності власних фізичних серверів та обладнання зменшує капітальні витрати. Крім того, оплата може базуватися на фактичному використанні ресурсів, що знижує витрати в порівнянні з традиційними моделями придбання обладнання.</w:t>
      </w:r>
    </w:p>
    <w:p w14:paraId="5306CFD0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Глобальний доступ: користувачі можуть отримувати доступ до своїх даних та ресурсів з будь-якого місця, де є Інтернет, що полегшує роботу на віддалених робочих місцях та сприяє спільній роботі.</w:t>
      </w:r>
    </w:p>
    <w:p w14:paraId="475F51CD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Безпека: великі хмарні постачальники зазвичай вкладають значні зусилля в забезпечення безпеки даних, включаючи шифрування, автентифікацію та інші заходи.</w:t>
      </w:r>
    </w:p>
    <w:p w14:paraId="2ED20D40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Швидке впровадження нових функцій та оновлень: хмарні постачальники можуть швидко впроваджувати нові функції та оновлення, забезпечуючи користувачам доступ до останніх технологій без необхідності самостійного оновлення інфраструктури.</w:t>
      </w:r>
    </w:p>
    <w:p w14:paraId="4B5319AE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Ці переваги роблять хмарні технології дуже привабливими для багатьох компаній та організацій.</w:t>
      </w:r>
    </w:p>
    <w:p w14:paraId="4E0D0259" w14:textId="77777777" w:rsidR="002F3E47" w:rsidRDefault="002F3E47" w:rsidP="002F3E47">
      <w:pPr>
        <w:pStyle w:val="2"/>
        <w:shd w:val="clear" w:color="auto" w:fill="FFFFFF"/>
        <w:spacing w:before="0" w:line="656" w:lineRule="atLeast"/>
        <w:jc w:val="center"/>
        <w:rPr>
          <w:rFonts w:ascii="Arial" w:hAnsi="Arial" w:cs="Arial"/>
          <w:color w:val="000712"/>
          <w:sz w:val="57"/>
          <w:szCs w:val="57"/>
        </w:rPr>
      </w:pPr>
      <w:r>
        <w:rPr>
          <w:rStyle w:val="a9"/>
          <w:rFonts w:ascii="Arial" w:hAnsi="Arial" w:cs="Arial"/>
          <w:b w:val="0"/>
          <w:bCs w:val="0"/>
          <w:color w:val="000712"/>
          <w:sz w:val="28"/>
          <w:szCs w:val="28"/>
          <w:bdr w:val="none" w:sz="0" w:space="0" w:color="auto" w:frame="1"/>
        </w:rPr>
        <w:t>Недоліки використання хмарних сервісів</w:t>
      </w:r>
    </w:p>
    <w:p w14:paraId="641FFDE0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Незважаючи на багато переваг, існують і деякі недоліки використання хмарних сервісів, які можуть вплинути на різні аспекти бізнесу та користувачів. </w:t>
      </w:r>
    </w:p>
    <w:p w14:paraId="3A5B69A5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Залежність від інтернету: використання хмарних сервісів передбачає наявність стабільного Інтернет-з’єднання. В разі відсутності з’єднання може виникнути проблема доступу до даних та сервісів.</w:t>
      </w:r>
    </w:p>
    <w:p w14:paraId="5FF0AEAA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proofErr w:type="spellStart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lastRenderedPageBreak/>
        <w:t>Приватність</w:t>
      </w:r>
      <w:proofErr w:type="spellEnd"/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 xml:space="preserve"> та безпека даних: застосування хмарних сервісів може породжувати питання щодо конфіденційності та безпеки даних. Користувачі можуть бути обурені, якщо їх конфіденційна інформація знаходиться на серверах інших компаній.</w:t>
      </w:r>
    </w:p>
    <w:p w14:paraId="2F6993CA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Відмова від контролю над інфраструктурою: у випадку хмарних сервісів користувачі втрачають частину контролю над інфраструктурою, так як обчислювальні ресурси та деякі аспекти безпеки управляються постачальником хмарних послуг.</w:t>
      </w:r>
    </w:p>
    <w:p w14:paraId="005772AB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Можливість виникнення проблем безпеки: хоча постачальники хмарних послуг вкладають значні зусилля в забезпечення безпеки, існують ризики виникнення інцидентів безпеки, таких як витоки даних або атаки на систему.</w:t>
      </w:r>
    </w:p>
    <w:p w14:paraId="35D6CC22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Вартість: на перший погляд хмарні послуги можуть здаватися економічно вигідними, але в деяких випадках витрати можуть зрости з часом або через несподівані обставини, такі як збільшення використання ресурсів.</w:t>
      </w:r>
    </w:p>
    <w:p w14:paraId="0C620F2B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Обмежені можливості настроювання: деякі хмарні сервіси можуть обмежувати можливості користувачів налаштовувати інфраструктуру та програмне забезпечення під їхні потреби.</w:t>
      </w:r>
    </w:p>
    <w:p w14:paraId="28ECAC2E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Відсутність контролю над місцезнаходженням даних: користувачі можуть не мати повного контролю над тим, де фізично знаходяться їхні дані, оскільки хмарні послуги можуть використовувати сервери в різних країнах.</w:t>
      </w:r>
    </w:p>
    <w:p w14:paraId="1A962619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Можливість зміни вартості послуг: вартість хмарних послуг може змінюватися, іноді призводячи до неочікуваних витрат для користувачів.</w:t>
      </w:r>
    </w:p>
    <w:p w14:paraId="0D404834" w14:textId="77777777" w:rsidR="002F3E47" w:rsidRDefault="002F3E47" w:rsidP="002F3E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712"/>
          <w:sz w:val="21"/>
          <w:szCs w:val="21"/>
        </w:rPr>
      </w:pPr>
      <w:r>
        <w:rPr>
          <w:rFonts w:ascii="Georgia" w:hAnsi="Georgia" w:cs="Arial"/>
          <w:color w:val="000712"/>
          <w:sz w:val="28"/>
          <w:szCs w:val="28"/>
          <w:bdr w:val="none" w:sz="0" w:space="0" w:color="auto" w:frame="1"/>
        </w:rPr>
        <w:t>Хоча багато з цих недоліків можливо управляти або зменшити за допомогою правильного планування та вибору постачальника хмарних послуг, вони все ж робляться об’єктом уваги при впровадженні хмарних технологій.</w:t>
      </w:r>
    </w:p>
    <w:p w14:paraId="65423897" w14:textId="77777777" w:rsidR="002F3E47" w:rsidRPr="002F3E47" w:rsidRDefault="002F3E47" w:rsidP="002F3E47">
      <w:pPr>
        <w:tabs>
          <w:tab w:val="left" w:leader="dot" w:pos="8363"/>
        </w:tabs>
        <w:spacing w:line="240" w:lineRule="auto"/>
        <w:ind w:firstLine="539"/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uk-UA"/>
        </w:rPr>
      </w:pPr>
    </w:p>
    <w:sectPr w:rsidR="002F3E47" w:rsidRPr="002F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CD7"/>
    <w:multiLevelType w:val="multilevel"/>
    <w:tmpl w:val="8712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74F32"/>
    <w:multiLevelType w:val="multilevel"/>
    <w:tmpl w:val="DEDC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9A3"/>
    <w:multiLevelType w:val="multilevel"/>
    <w:tmpl w:val="8C3A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04C41"/>
    <w:multiLevelType w:val="multilevel"/>
    <w:tmpl w:val="426A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12E51"/>
    <w:multiLevelType w:val="multilevel"/>
    <w:tmpl w:val="4CC8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D3B5B"/>
    <w:multiLevelType w:val="multilevel"/>
    <w:tmpl w:val="C89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D2E65"/>
    <w:multiLevelType w:val="multilevel"/>
    <w:tmpl w:val="1DD6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43D67"/>
    <w:multiLevelType w:val="multilevel"/>
    <w:tmpl w:val="96F2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E3ED8"/>
    <w:multiLevelType w:val="multilevel"/>
    <w:tmpl w:val="3772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2E3E21"/>
    <w:multiLevelType w:val="multilevel"/>
    <w:tmpl w:val="4BE6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B2CD5"/>
    <w:multiLevelType w:val="multilevel"/>
    <w:tmpl w:val="3B9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05BAA"/>
    <w:multiLevelType w:val="multilevel"/>
    <w:tmpl w:val="A89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0968DD"/>
    <w:multiLevelType w:val="multilevel"/>
    <w:tmpl w:val="5DA8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A34AC2"/>
    <w:multiLevelType w:val="multilevel"/>
    <w:tmpl w:val="97CC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8622C6"/>
    <w:multiLevelType w:val="multilevel"/>
    <w:tmpl w:val="6E32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345C2"/>
    <w:multiLevelType w:val="multilevel"/>
    <w:tmpl w:val="AE0A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0C1D18"/>
    <w:multiLevelType w:val="multilevel"/>
    <w:tmpl w:val="9E62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044F5C"/>
    <w:multiLevelType w:val="multilevel"/>
    <w:tmpl w:val="6550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DF75CE"/>
    <w:multiLevelType w:val="multilevel"/>
    <w:tmpl w:val="3EE2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AC6BE5"/>
    <w:multiLevelType w:val="multilevel"/>
    <w:tmpl w:val="2342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9F42A6"/>
    <w:multiLevelType w:val="multilevel"/>
    <w:tmpl w:val="4410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405D8B"/>
    <w:multiLevelType w:val="multilevel"/>
    <w:tmpl w:val="AB54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0C7F8B"/>
    <w:multiLevelType w:val="multilevel"/>
    <w:tmpl w:val="7BE4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365CB0"/>
    <w:multiLevelType w:val="multilevel"/>
    <w:tmpl w:val="37EE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0E02D7"/>
    <w:multiLevelType w:val="multilevel"/>
    <w:tmpl w:val="32A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F1B62"/>
    <w:multiLevelType w:val="hybridMultilevel"/>
    <w:tmpl w:val="4A9EEC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E6102"/>
    <w:multiLevelType w:val="multilevel"/>
    <w:tmpl w:val="CD0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5B232B"/>
    <w:multiLevelType w:val="multilevel"/>
    <w:tmpl w:val="E6D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8051FB"/>
    <w:multiLevelType w:val="multilevel"/>
    <w:tmpl w:val="ACD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73BB9"/>
    <w:multiLevelType w:val="multilevel"/>
    <w:tmpl w:val="ED7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745CB"/>
    <w:multiLevelType w:val="multilevel"/>
    <w:tmpl w:val="A380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257717"/>
    <w:multiLevelType w:val="multilevel"/>
    <w:tmpl w:val="098C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71D64"/>
    <w:multiLevelType w:val="multilevel"/>
    <w:tmpl w:val="7DE6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27D1A"/>
    <w:multiLevelType w:val="multilevel"/>
    <w:tmpl w:val="2ECA4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61E09"/>
    <w:multiLevelType w:val="multilevel"/>
    <w:tmpl w:val="DE1C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26660C"/>
    <w:multiLevelType w:val="multilevel"/>
    <w:tmpl w:val="2E82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B012AC"/>
    <w:multiLevelType w:val="multilevel"/>
    <w:tmpl w:val="0776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565582"/>
    <w:multiLevelType w:val="multilevel"/>
    <w:tmpl w:val="2374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6739A5"/>
    <w:multiLevelType w:val="multilevel"/>
    <w:tmpl w:val="7CD6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77783"/>
    <w:multiLevelType w:val="multilevel"/>
    <w:tmpl w:val="7862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764CA1"/>
    <w:multiLevelType w:val="multilevel"/>
    <w:tmpl w:val="0520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244E70"/>
    <w:multiLevelType w:val="multilevel"/>
    <w:tmpl w:val="CB14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22705C"/>
    <w:multiLevelType w:val="multilevel"/>
    <w:tmpl w:val="ACF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434B51"/>
    <w:multiLevelType w:val="multilevel"/>
    <w:tmpl w:val="6172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E347B0"/>
    <w:multiLevelType w:val="multilevel"/>
    <w:tmpl w:val="C4CE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73D9B"/>
    <w:multiLevelType w:val="multilevel"/>
    <w:tmpl w:val="23EC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4210EE"/>
    <w:multiLevelType w:val="multilevel"/>
    <w:tmpl w:val="5144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9B35ED"/>
    <w:multiLevelType w:val="multilevel"/>
    <w:tmpl w:val="11D4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3"/>
  </w:num>
  <w:num w:numId="3">
    <w:abstractNumId w:val="28"/>
  </w:num>
  <w:num w:numId="4">
    <w:abstractNumId w:val="12"/>
  </w:num>
  <w:num w:numId="5">
    <w:abstractNumId w:val="39"/>
  </w:num>
  <w:num w:numId="6">
    <w:abstractNumId w:val="47"/>
  </w:num>
  <w:num w:numId="7">
    <w:abstractNumId w:val="15"/>
  </w:num>
  <w:num w:numId="8">
    <w:abstractNumId w:val="17"/>
  </w:num>
  <w:num w:numId="9">
    <w:abstractNumId w:val="27"/>
  </w:num>
  <w:num w:numId="10">
    <w:abstractNumId w:val="13"/>
  </w:num>
  <w:num w:numId="11">
    <w:abstractNumId w:val="22"/>
  </w:num>
  <w:num w:numId="12">
    <w:abstractNumId w:val="0"/>
  </w:num>
  <w:num w:numId="13">
    <w:abstractNumId w:val="41"/>
  </w:num>
  <w:num w:numId="14">
    <w:abstractNumId w:val="42"/>
  </w:num>
  <w:num w:numId="15">
    <w:abstractNumId w:val="45"/>
  </w:num>
  <w:num w:numId="16">
    <w:abstractNumId w:val="43"/>
  </w:num>
  <w:num w:numId="17">
    <w:abstractNumId w:val="3"/>
  </w:num>
  <w:num w:numId="18">
    <w:abstractNumId w:val="1"/>
  </w:num>
  <w:num w:numId="19">
    <w:abstractNumId w:val="35"/>
    <w:lvlOverride w:ilvl="0">
      <w:startOverride w:val="6"/>
    </w:lvlOverride>
  </w:num>
  <w:num w:numId="20">
    <w:abstractNumId w:val="36"/>
  </w:num>
  <w:num w:numId="21">
    <w:abstractNumId w:val="31"/>
  </w:num>
  <w:num w:numId="22">
    <w:abstractNumId w:val="30"/>
  </w:num>
  <w:num w:numId="23">
    <w:abstractNumId w:val="40"/>
  </w:num>
  <w:num w:numId="24">
    <w:abstractNumId w:val="2"/>
  </w:num>
  <w:num w:numId="25">
    <w:abstractNumId w:val="46"/>
  </w:num>
  <w:num w:numId="26">
    <w:abstractNumId w:val="32"/>
  </w:num>
  <w:num w:numId="27">
    <w:abstractNumId w:val="8"/>
  </w:num>
  <w:num w:numId="28">
    <w:abstractNumId w:val="16"/>
  </w:num>
  <w:num w:numId="29">
    <w:abstractNumId w:val="18"/>
  </w:num>
  <w:num w:numId="30">
    <w:abstractNumId w:val="11"/>
  </w:num>
  <w:num w:numId="31">
    <w:abstractNumId w:val="6"/>
  </w:num>
  <w:num w:numId="32">
    <w:abstractNumId w:val="14"/>
  </w:num>
  <w:num w:numId="33">
    <w:abstractNumId w:val="19"/>
  </w:num>
  <w:num w:numId="34">
    <w:abstractNumId w:val="4"/>
  </w:num>
  <w:num w:numId="35">
    <w:abstractNumId w:val="7"/>
  </w:num>
  <w:num w:numId="36">
    <w:abstractNumId w:val="34"/>
  </w:num>
  <w:num w:numId="37">
    <w:abstractNumId w:val="44"/>
  </w:num>
  <w:num w:numId="38">
    <w:abstractNumId w:val="29"/>
  </w:num>
  <w:num w:numId="39">
    <w:abstractNumId w:val="9"/>
  </w:num>
  <w:num w:numId="40">
    <w:abstractNumId w:val="38"/>
  </w:num>
  <w:num w:numId="41">
    <w:abstractNumId w:val="10"/>
  </w:num>
  <w:num w:numId="42">
    <w:abstractNumId w:val="24"/>
  </w:num>
  <w:num w:numId="43">
    <w:abstractNumId w:val="37"/>
  </w:num>
  <w:num w:numId="44">
    <w:abstractNumId w:val="26"/>
  </w:num>
  <w:num w:numId="45">
    <w:abstractNumId w:val="23"/>
  </w:num>
  <w:num w:numId="46">
    <w:abstractNumId w:val="20"/>
  </w:num>
  <w:num w:numId="47">
    <w:abstractNumId w:val="25"/>
  </w:num>
  <w:num w:numId="48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55"/>
    <w:rsid w:val="00257CDB"/>
    <w:rsid w:val="002D2A29"/>
    <w:rsid w:val="002F3E47"/>
    <w:rsid w:val="0034160A"/>
    <w:rsid w:val="003B0CE9"/>
    <w:rsid w:val="003D499A"/>
    <w:rsid w:val="00444E40"/>
    <w:rsid w:val="00515C9C"/>
    <w:rsid w:val="005176E8"/>
    <w:rsid w:val="00525837"/>
    <w:rsid w:val="005C103D"/>
    <w:rsid w:val="006055E6"/>
    <w:rsid w:val="00645955"/>
    <w:rsid w:val="006B7B5E"/>
    <w:rsid w:val="00705E32"/>
    <w:rsid w:val="007E3810"/>
    <w:rsid w:val="007E51D1"/>
    <w:rsid w:val="00815CF3"/>
    <w:rsid w:val="00843A5B"/>
    <w:rsid w:val="0085330D"/>
    <w:rsid w:val="0085797E"/>
    <w:rsid w:val="00B97619"/>
    <w:rsid w:val="00E6016D"/>
    <w:rsid w:val="00ED74BF"/>
    <w:rsid w:val="00FB5675"/>
    <w:rsid w:val="00FB788E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82D50"/>
  <w15:chartTrackingRefBased/>
  <w15:docId w15:val="{EB0F3596-E6B4-4028-ACB9-282B5B7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7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6E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1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15C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ocpalertsection">
    <w:name w:val="ocpalertsection"/>
    <w:basedOn w:val="a"/>
    <w:rsid w:val="008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57C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C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57C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7E51D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0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rsid w:val="0060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char">
    <w:name w:val="normalchar"/>
    <w:basedOn w:val="a0"/>
    <w:rsid w:val="006055E6"/>
  </w:style>
  <w:style w:type="character" w:customStyle="1" w:styleId="apple-converted-space">
    <w:name w:val="apple-converted-space"/>
    <w:basedOn w:val="a0"/>
    <w:rsid w:val="006055E6"/>
  </w:style>
  <w:style w:type="character" w:customStyle="1" w:styleId="10">
    <w:name w:val="Заголовок 1 Знак"/>
    <w:basedOn w:val="a0"/>
    <w:link w:val="1"/>
    <w:uiPriority w:val="9"/>
    <w:rsid w:val="0051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51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515C9C"/>
    <w:rPr>
      <w:b/>
      <w:bCs/>
    </w:rPr>
  </w:style>
  <w:style w:type="character" w:styleId="aa">
    <w:name w:val="Emphasis"/>
    <w:basedOn w:val="a0"/>
    <w:uiPriority w:val="20"/>
    <w:qFormat/>
    <w:rsid w:val="00515C9C"/>
    <w:rPr>
      <w:i/>
      <w:iCs/>
    </w:rPr>
  </w:style>
  <w:style w:type="character" w:customStyle="1" w:styleId="spelle">
    <w:name w:val="spelle"/>
    <w:basedOn w:val="a0"/>
    <w:rsid w:val="003D499A"/>
  </w:style>
  <w:style w:type="paragraph" w:customStyle="1" w:styleId="a40">
    <w:name w:val="a4"/>
    <w:basedOn w:val="a"/>
    <w:rsid w:val="003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0">
    <w:name w:val="11"/>
    <w:basedOn w:val="a"/>
    <w:rsid w:val="003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2">
    <w:name w:val="12"/>
    <w:basedOn w:val="a0"/>
    <w:rsid w:val="003D499A"/>
  </w:style>
  <w:style w:type="character" w:customStyle="1" w:styleId="a50">
    <w:name w:val="a5"/>
    <w:basedOn w:val="a0"/>
    <w:rsid w:val="003D499A"/>
  </w:style>
  <w:style w:type="paragraph" w:customStyle="1" w:styleId="200">
    <w:name w:val="20"/>
    <w:basedOn w:val="a"/>
    <w:rsid w:val="003D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0">
    <w:name w:val="a6"/>
    <w:basedOn w:val="a0"/>
    <w:rsid w:val="003D499A"/>
  </w:style>
  <w:style w:type="character" w:customStyle="1" w:styleId="21">
    <w:name w:val="21"/>
    <w:basedOn w:val="a0"/>
    <w:rsid w:val="003D499A"/>
  </w:style>
  <w:style w:type="character" w:customStyle="1" w:styleId="grame">
    <w:name w:val="grame"/>
    <w:basedOn w:val="a0"/>
    <w:rsid w:val="003D499A"/>
  </w:style>
  <w:style w:type="character" w:customStyle="1" w:styleId="notranslate">
    <w:name w:val="notranslate"/>
    <w:basedOn w:val="a0"/>
    <w:rsid w:val="003D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20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8617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8946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4737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1164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73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3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480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5071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3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699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47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43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01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96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6933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93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480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penasan.github.io/TI40/%D0%9B%D0%B5%D0%BA%D1%86/www.alibaba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ib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2257</Words>
  <Characters>15918</Characters>
  <Application>Microsoft Office Word</Application>
  <DocSecurity>0</DocSecurity>
  <Lines>346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 Вадим</dc:creator>
  <cp:keywords/>
  <dc:description/>
  <cp:lastModifiedBy>Бура Вадим</cp:lastModifiedBy>
  <cp:revision>6</cp:revision>
  <dcterms:created xsi:type="dcterms:W3CDTF">2024-09-20T14:33:00Z</dcterms:created>
  <dcterms:modified xsi:type="dcterms:W3CDTF">2024-11-13T09:53:00Z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d39096ce-b503-4f90-b654-433328ba543e</vt:lpwstr>
  </property>
</Properties>
</file>