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342C" w14:textId="3DBFC40E" w:rsidR="00873BCB" w:rsidRDefault="00873BCB" w:rsidP="00873BCB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>
        <w:rPr>
          <w:bCs/>
          <w:color w:val="202122"/>
          <w:sz w:val="28"/>
          <w:szCs w:val="28"/>
          <w:lang w:val="uk-UA"/>
        </w:rPr>
        <w:t>Практична робота 12</w:t>
      </w:r>
    </w:p>
    <w:p w14:paraId="76C36F99" w14:textId="477B8921" w:rsidR="00873BCB" w:rsidRDefault="00873BCB" w:rsidP="00873BCB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>
        <w:rPr>
          <w:bCs/>
          <w:color w:val="202122"/>
          <w:sz w:val="28"/>
          <w:szCs w:val="28"/>
          <w:lang w:val="uk-UA"/>
        </w:rPr>
        <w:t>ТЕМА: «</w:t>
      </w:r>
      <w:r w:rsidR="0020724C">
        <w:rPr>
          <w:bCs/>
          <w:color w:val="202122"/>
          <w:sz w:val="28"/>
          <w:szCs w:val="28"/>
          <w:lang w:val="uk-UA"/>
        </w:rPr>
        <w:t xml:space="preserve">ЗАБЕЗПЕЧЕННЯ ВІДКРИТОСТІ, БЕЗПЕКИ, ЖИТТЄСТІЙКОСТІ Й ЕКОЛОГІЧНОЇ СТІЙКОСТІ МІСТ І НАСЕЛЕНИХ ПУНКТІВ ПРИ </w:t>
      </w:r>
      <w:r>
        <w:rPr>
          <w:bCs/>
          <w:color w:val="202122"/>
          <w:sz w:val="28"/>
          <w:szCs w:val="28"/>
          <w:lang w:val="uk-UA"/>
        </w:rPr>
        <w:t>УПРАВЛІННІ ВОДНИМИ ТА ЗЕМЕЛЬНИМИ РЕСУРСАМИ»</w:t>
      </w:r>
    </w:p>
    <w:p w14:paraId="6AACD709" w14:textId="77777777" w:rsidR="00873BCB" w:rsidRPr="00873BCB" w:rsidRDefault="00873BCB" w:rsidP="00873BCB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73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</w:t>
      </w:r>
      <w:proofErr w:type="spellEnd"/>
      <w:r w:rsidRPr="00873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11. </w:t>
      </w:r>
      <w:proofErr w:type="spellStart"/>
      <w:r w:rsidRPr="00873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Сталий</w:t>
      </w:r>
      <w:proofErr w:type="spellEnd"/>
      <w:r w:rsidRPr="00873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розвиток</w:t>
      </w:r>
      <w:proofErr w:type="spellEnd"/>
      <w:r w:rsidRPr="00873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міст</w:t>
      </w:r>
      <w:proofErr w:type="spellEnd"/>
      <w:r w:rsidRPr="00873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громад</w:t>
      </w:r>
    </w:p>
    <w:p w14:paraId="5506C29F" w14:textId="14DDD426" w:rsidR="00873BCB" w:rsidRPr="00873BCB" w:rsidRDefault="00873BCB" w:rsidP="0087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CB">
        <w:rPr>
          <w:rFonts w:ascii="Times New Roman" w:eastAsia="Times New Roman" w:hAnsi="Times New Roman" w:cs="Times New Roman"/>
          <w:noProof/>
          <w:color w:val="0645A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073EF37" wp14:editId="727886F2">
            <wp:extent cx="2095500" cy="2095500"/>
            <wp:effectExtent l="0" t="0" r="0" b="0"/>
            <wp:docPr id="2" name="Рисунок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52C2B" w14:textId="77777777" w:rsidR="00873BCB" w:rsidRPr="00873BCB" w:rsidRDefault="00873BCB" w:rsidP="00083BE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</w:t>
      </w:r>
      <w:proofErr w:type="spellStart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Забезпечення</w:t>
      </w:r>
      <w:proofErr w:type="spellEnd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відкритості</w:t>
      </w:r>
      <w:proofErr w:type="spellEnd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, </w:t>
      </w:r>
      <w:proofErr w:type="spellStart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безпеки</w:t>
      </w:r>
      <w:proofErr w:type="spellEnd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, </w:t>
      </w:r>
      <w:proofErr w:type="spellStart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життєстійкості</w:t>
      </w:r>
      <w:proofErr w:type="spellEnd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й </w:t>
      </w:r>
      <w:proofErr w:type="spellStart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екологічної</w:t>
      </w:r>
      <w:proofErr w:type="spellEnd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стійкості</w:t>
      </w:r>
      <w:proofErr w:type="spellEnd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міст</w:t>
      </w:r>
      <w:proofErr w:type="spellEnd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і </w:t>
      </w:r>
      <w:proofErr w:type="spellStart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населених</w:t>
      </w:r>
      <w:proofErr w:type="spellEnd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пунктів</w:t>
      </w:r>
      <w:proofErr w:type="spellEnd"/>
      <w:r w:rsidRPr="00873BC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».</w:t>
      </w:r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Більше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половини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населення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світу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проживає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міських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районах. До 2050 року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цифра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зросте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6,5 млрд людей,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тобто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двох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третин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усього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людства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Сталого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не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можна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досягти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без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істотного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перетворення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того,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яким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чином ми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будуємо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міські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райони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керуємо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ними.</w:t>
      </w:r>
    </w:p>
    <w:p w14:paraId="675C68BA" w14:textId="77777777" w:rsidR="00873BCB" w:rsidRPr="00873BCB" w:rsidRDefault="00873BCB" w:rsidP="00083BE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Швидке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зростання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міст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країнах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розвиваються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одночасно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активізацією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міграції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сільських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районів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міста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викликало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бум у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мегаполісах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У 1990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році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налічувалося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10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мегаполісів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мали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10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мільйонів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жителів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або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більше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У 2014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році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мегаполісів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стало 28, у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яких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проживає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453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мільйони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14:paraId="5F2A9231" w14:textId="77777777" w:rsidR="00873BCB" w:rsidRPr="00873BCB" w:rsidRDefault="00873BCB" w:rsidP="00083BE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У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міських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районах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нерідко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зосереджена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крайня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бідність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а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національним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міським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органам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влади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непросто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розмістити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зростаюче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населення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таких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територіях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Досягнення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безпеки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сталого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міст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означає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забезпечення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безпечним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доступним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житлом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а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модернізацію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нетрів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передбачає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інвестиції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громадський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транспорт,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створення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зелених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громадських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територій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а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удосконалення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міського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планування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управління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такий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спосіб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одночасно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забезпечуватиме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інклюзивність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загальну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рівноправну</w:t>
      </w:r>
      <w:proofErr w:type="spellEnd"/>
      <w:r w:rsidRPr="00873B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участь.</w:t>
      </w:r>
    </w:p>
    <w:p w14:paraId="2981500E" w14:textId="77777777" w:rsidR="00873BCB" w:rsidRDefault="00873BCB" w:rsidP="00873BCB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5A4DD86" w14:textId="77777777" w:rsidR="00873BCB" w:rsidRDefault="00873BCB" w:rsidP="00873BC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Завдання:</w:t>
      </w:r>
    </w:p>
    <w:p w14:paraId="10DD33F3" w14:textId="5F6A7DE0" w:rsidR="00FD0312" w:rsidRDefault="008B17D7" w:rsidP="00873BC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Розробити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</w:t>
      </w:r>
      <w:proofErr w:type="spellEnd"/>
      <w:r w:rsidR="006E2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вирішення актуальної проблеми щодо </w:t>
      </w:r>
      <w:r w:rsidR="006E2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забезпечення відкритості, безпеки, життєстійкості й екологічної стійкості міст</w:t>
      </w:r>
      <w:r w:rsidR="006E2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Житомир.</w:t>
      </w:r>
    </w:p>
    <w:p w14:paraId="136BE5D3" w14:textId="7C00ACFD" w:rsidR="006E27E9" w:rsidRDefault="006E27E9" w:rsidP="00873BC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підготувати у вигляді презентації (10-15 слайдів).</w:t>
      </w:r>
    </w:p>
    <w:p w14:paraId="340563F8" w14:textId="77777777" w:rsidR="00873BCB" w:rsidRDefault="00873BCB" w:rsidP="00873BC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4DD8F5D6" w14:textId="77777777" w:rsidR="00873BCB" w:rsidRDefault="00873BCB" w:rsidP="00873BC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75BFD4B" w14:textId="77777777" w:rsidR="00873BCB" w:rsidRDefault="00873BCB" w:rsidP="00873B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7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CB"/>
    <w:rsid w:val="00083BEB"/>
    <w:rsid w:val="0020724C"/>
    <w:rsid w:val="006E27E9"/>
    <w:rsid w:val="00873BCB"/>
    <w:rsid w:val="008B17D7"/>
    <w:rsid w:val="00F9692B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FFF9"/>
  <w15:chartTrackingRefBased/>
  <w15:docId w15:val="{77F6CD33-F029-47FD-8E50-8B390BE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BCB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873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873BCB"/>
  </w:style>
  <w:style w:type="character" w:customStyle="1" w:styleId="mw-editsection-bracket">
    <w:name w:val="mw-editsection-bracket"/>
    <w:basedOn w:val="a0"/>
    <w:rsid w:val="00873BCB"/>
  </w:style>
  <w:style w:type="character" w:styleId="a4">
    <w:name w:val="Hyperlink"/>
    <w:basedOn w:val="a0"/>
    <w:uiPriority w:val="99"/>
    <w:semiHidden/>
    <w:unhideWhenUsed/>
    <w:rsid w:val="00873BC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7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41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uk.wikipedia.org/wiki/%D0%A4%D0%B0%D0%B9%D0%BB:SDG-11_Ukrainian.s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2024-09-25T09:47:00Z</dcterms:created>
  <dcterms:modified xsi:type="dcterms:W3CDTF">2024-10-24T08:47:00Z</dcterms:modified>
</cp:coreProperties>
</file>