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D5387B">
        <w:rPr>
          <w:rFonts w:ascii="Times New Roman" w:hAnsi="Times New Roman"/>
          <w:bCs/>
          <w:sz w:val="28"/>
          <w:szCs w:val="28"/>
          <w:lang w:val="uk-UA"/>
        </w:rPr>
        <w:t>Лекція 2</w:t>
      </w:r>
      <w:r w:rsidRPr="00D5387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</w:pPr>
      <w:r w:rsidRPr="00D5387B">
        <w:rPr>
          <w:rFonts w:ascii="Times New Roman" w:hAnsi="Times New Roman"/>
          <w:b/>
          <w:bCs/>
          <w:sz w:val="28"/>
          <w:szCs w:val="28"/>
          <w:lang w:val="uk-UA"/>
        </w:rPr>
        <w:t>Предмет професійної етики, її види та її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</w:t>
      </w:r>
      <w:r w:rsidRPr="00D5387B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місце в загальній структурі етичних дисциплін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Здобувач має знати визначення професійної етики, її місце в загальній структурі етичних дисциплін, види професійної етики, її загальні і приватні особливості, а т</w:t>
      </w:r>
      <w:r w:rsidRPr="00D5387B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D5387B">
        <w:rPr>
          <w:rStyle w:val="tlid-translation"/>
          <w:rFonts w:ascii="Times New Roman" w:hAnsi="Times New Roman"/>
          <w:i/>
          <w:iCs/>
          <w:sz w:val="28"/>
          <w:szCs w:val="28"/>
          <w:lang w:val="uk-UA"/>
        </w:rPr>
        <w:t>кож місце педагогічної етики в ній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.</w:t>
      </w:r>
    </w:p>
    <w:p w:rsid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Термін "</w:t>
      </w:r>
      <w:r w:rsidRPr="00D5387B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етика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" (від давньогрецького ἦθος – стійка природа будь-якого явища, хара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к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тер, звичай) ввів Аристотель, який під етикою розумів головним чином вчення про чесн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о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ти як головну умову досягнення щастя і розглядав її як розділ практичної філософії поряд з політикою й економікою.</w:t>
      </w:r>
      <w:r w:rsidRPr="00D53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Відповідно до Аристотеля, мета етики не знання взагалі, а оцінка вчинків і їх змісту з точки зору "належного" та "сущого", з точки зору природи люд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и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ни і його призначення. 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Етика як теорія моралі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вивчає генезис, сутність, специфіку моралі. Вона розкриває місце і роль моральних норм у житті суспільства та людини; виявляє засоби морального регулювання людської життєдіяльності, критерії моральності і морального прогресу. О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д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нак етика виступає не тільки як теорія моралі, а й як вчення про людину і суспільство як моральних суб'єктів. Вона розглядає структуру моральної свідомості суспільства й особ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и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стості, аналізує зміст і сенс понять, які визначають моральну природу наших вчинків, т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ких, наприклад, як сенс життя, щастя, благо, добро, зло, обов'язок, совість, честь і гідність.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Мораль і порядність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. Розмежування між мораллю (</w:t>
      </w:r>
      <w:proofErr w:type="spellStart"/>
      <w:r w:rsidRPr="00D5387B">
        <w:rPr>
          <w:rStyle w:val="tlid-translation"/>
          <w:rFonts w:ascii="Times New Roman" w:hAnsi="Times New Roman"/>
          <w:sz w:val="28"/>
          <w:szCs w:val="28"/>
          <w:lang w:val="de-DE" w:bidi="sa-IN"/>
        </w:rPr>
        <w:t>Moralit</w:t>
      </w:r>
      <w:proofErr w:type="spellEnd"/>
      <w:r w:rsidRPr="00D5387B">
        <w:rPr>
          <w:rStyle w:val="tlid-translation"/>
          <w:rFonts w:ascii="Times New Roman" w:hAnsi="Times New Roman"/>
          <w:sz w:val="28"/>
          <w:szCs w:val="28"/>
          <w:lang w:val="uk-UA" w:bidi="sa-IN"/>
        </w:rPr>
        <w:t>ä</w:t>
      </w:r>
      <w:r w:rsidRPr="00D5387B">
        <w:rPr>
          <w:rStyle w:val="tlid-translation"/>
          <w:rFonts w:ascii="Times New Roman" w:hAnsi="Times New Roman"/>
          <w:sz w:val="28"/>
          <w:szCs w:val="28"/>
          <w:lang w:val="de-DE" w:bidi="sa-IN"/>
        </w:rPr>
        <w:t>t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) і порядністю (</w:t>
      </w:r>
      <w:r w:rsidRPr="00D5387B">
        <w:rPr>
          <w:rStyle w:val="tlid-translation"/>
          <w:rFonts w:ascii="Times New Roman" w:hAnsi="Times New Roman"/>
          <w:sz w:val="28"/>
          <w:szCs w:val="28"/>
          <w:lang w:val="de-DE"/>
        </w:rPr>
        <w:t>Sittlichkeit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) вперше ввів Гегель, 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 w:bidi="sa-IN"/>
        </w:rPr>
        <w:t xml:space="preserve">який 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під мораллю розумів суб'єктивний аспект (наміри) вчинків, а під порядністю - самі вчинки в їх об'єктивному значенні для людини та людства. Це розмеж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у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вання знайшло відображення в мовах багатьох країн, де під порядністю розуміються вис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о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кі принципи поведінки, які є втіленням вічних цінностей, зразкових норм поведінки, а під мораллю - історично мінливі норми поведінки, які притаманні окремим особистостям, н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родам або спільнотам. 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lastRenderedPageBreak/>
        <w:t>Професійна етика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наука про принципи, норми і правила, що регулюють поведінку спеціаліста на основі загальнолюдських моральних цінностей, з урахуванням особливо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с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тей його професійної діяльності і конкретної ситуації. Вона стосується лише тих аспектів професійної діяльності фахівця, які впливають на життя і долі інших людей чи людства в цілому. Серед видів професійної етики можна виділити традиційні види професійної ет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и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ки, такі, як педагогічна, медична, політична, юридична, етика вченого, і порівняно нові, наприклад, інженерна, інформаційна, комп'ютерна, екологічна та журналістська етика. В якості самостійного розділу професійної етики виступає етика ділового спілкування, яка зачіпає практично всі види професійної діяльності (як менеджера і підприємця, так і пед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гога, юриста і інженера).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b/>
          <w:bCs/>
          <w:sz w:val="28"/>
          <w:szCs w:val="28"/>
          <w:lang w:val="uk-UA"/>
        </w:rPr>
        <w:t>Прикладна етика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- це сукупність принципів, норм і правил, що регулюють поведінку людей в певних областях їх життєдіяльності і в конкретних ситуаціях. Від професійної етики прикладна відрізняється тим, що професійна етика визначає основні моральні якості людини стосо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в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но відповідної професії, тоді як прикладна етика має своїм предметом конкретні моральні ситуації, які виникають в результаті професійної діяльності. Прикладна етика є частиною професійної етики в тій мірі, в якій вона стосується діяльності фахівця.</w:t>
      </w:r>
    </w:p>
    <w:p w:rsid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b/>
          <w:sz w:val="28"/>
          <w:szCs w:val="28"/>
          <w:lang w:val="uk-UA"/>
        </w:rPr>
      </w:pP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b/>
          <w:i/>
          <w:iCs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Особливості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професійної етики в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и</w:t>
      </w: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кладача за можна поділити на </w:t>
      </w:r>
      <w:r w:rsidRPr="00D5387B">
        <w:rPr>
          <w:rStyle w:val="tlid-translation"/>
          <w:rFonts w:ascii="Times New Roman" w:hAnsi="Times New Roman"/>
          <w:b/>
          <w:sz w:val="28"/>
          <w:szCs w:val="28"/>
          <w:lang w:val="uk-UA"/>
        </w:rPr>
        <w:t>загальні і спеціальні.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До загальних відносяться наступні:</w:t>
      </w:r>
    </w:p>
    <w:p w:rsidR="00D5387B" w:rsidRPr="00D5387B" w:rsidRDefault="00D5387B" w:rsidP="00D5387B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i/>
          <w:iCs/>
          <w:sz w:val="28"/>
          <w:szCs w:val="28"/>
        </w:rPr>
        <w:t>Вищі моральні цінності та норми</w:t>
      </w:r>
      <w:r w:rsidRPr="00D5387B">
        <w:rPr>
          <w:rStyle w:val="tlid-translation"/>
          <w:sz w:val="28"/>
          <w:szCs w:val="28"/>
        </w:rPr>
        <w:t>, які, зберігаючи загальнолюдське значення, в рі</w:t>
      </w:r>
      <w:r w:rsidRPr="00D5387B">
        <w:rPr>
          <w:rStyle w:val="tlid-translation"/>
          <w:sz w:val="28"/>
          <w:szCs w:val="28"/>
        </w:rPr>
        <w:t>з</w:t>
      </w:r>
      <w:r w:rsidRPr="00D5387B">
        <w:rPr>
          <w:rStyle w:val="tlid-translation"/>
          <w:sz w:val="28"/>
          <w:szCs w:val="28"/>
        </w:rPr>
        <w:t>них видах професійної етики знаходять свої конкретні риси. Яскравим прикладом таких норм є професійний обов'язок, що співпадає зі змістом життя. В рамках ко</w:t>
      </w:r>
      <w:r w:rsidRPr="00D5387B">
        <w:rPr>
          <w:rStyle w:val="tlid-translation"/>
          <w:sz w:val="28"/>
          <w:szCs w:val="28"/>
        </w:rPr>
        <w:t>н</w:t>
      </w:r>
      <w:r w:rsidRPr="00D5387B">
        <w:rPr>
          <w:rStyle w:val="tlid-translation"/>
          <w:sz w:val="28"/>
          <w:szCs w:val="28"/>
        </w:rPr>
        <w:t xml:space="preserve">кретної спеціальності формуються </w:t>
      </w:r>
      <w:r w:rsidRPr="00D5387B">
        <w:rPr>
          <w:rStyle w:val="tlid-translation"/>
          <w:i/>
          <w:iCs/>
          <w:sz w:val="28"/>
          <w:szCs w:val="28"/>
        </w:rPr>
        <w:t>спеціально-професійні моральні норми та ці</w:t>
      </w:r>
      <w:r w:rsidRPr="00D5387B">
        <w:rPr>
          <w:rStyle w:val="tlid-translation"/>
          <w:i/>
          <w:iCs/>
          <w:sz w:val="28"/>
          <w:szCs w:val="28"/>
        </w:rPr>
        <w:t>н</w:t>
      </w:r>
      <w:r w:rsidRPr="00D5387B">
        <w:rPr>
          <w:rStyle w:val="tlid-translation"/>
          <w:i/>
          <w:iCs/>
          <w:sz w:val="28"/>
          <w:szCs w:val="28"/>
        </w:rPr>
        <w:t>ност</w:t>
      </w:r>
      <w:r w:rsidRPr="00D5387B">
        <w:rPr>
          <w:rStyle w:val="tlid-translation"/>
          <w:sz w:val="28"/>
          <w:szCs w:val="28"/>
        </w:rPr>
        <w:t xml:space="preserve">і, які характерні для даного роду діяльності. </w:t>
      </w:r>
    </w:p>
    <w:p w:rsidR="00D5387B" w:rsidRPr="00D5387B" w:rsidRDefault="00D5387B" w:rsidP="00D5387B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i/>
          <w:iCs/>
          <w:sz w:val="28"/>
          <w:szCs w:val="28"/>
        </w:rPr>
        <w:t>К</w:t>
      </w:r>
      <w:r w:rsidRPr="00D5387B">
        <w:rPr>
          <w:rStyle w:val="tlid-translation"/>
          <w:i/>
          <w:iCs/>
          <w:sz w:val="28"/>
          <w:szCs w:val="28"/>
        </w:rPr>
        <w:t>орпоративність</w:t>
      </w:r>
      <w:r w:rsidRPr="00D5387B">
        <w:rPr>
          <w:rStyle w:val="tlid-translation"/>
          <w:sz w:val="28"/>
          <w:szCs w:val="28"/>
        </w:rPr>
        <w:t xml:space="preserve"> професійної діяльності, яка проявляється у відособленості і відд</w:t>
      </w:r>
      <w:r w:rsidRPr="00D5387B">
        <w:rPr>
          <w:rStyle w:val="tlid-translation"/>
          <w:sz w:val="28"/>
          <w:szCs w:val="28"/>
        </w:rPr>
        <w:t>а</w:t>
      </w:r>
      <w:r w:rsidRPr="00D5387B">
        <w:rPr>
          <w:rStyle w:val="tlid-translation"/>
          <w:sz w:val="28"/>
          <w:szCs w:val="28"/>
        </w:rPr>
        <w:t xml:space="preserve">ності вузьким груповим інтересам в рамках професійних </w:t>
      </w:r>
      <w:r w:rsidRPr="00D5387B">
        <w:rPr>
          <w:rStyle w:val="tlid-translation"/>
          <w:sz w:val="28"/>
          <w:szCs w:val="28"/>
        </w:rPr>
        <w:lastRenderedPageBreak/>
        <w:t>об'єднань (наприклад, зберігання і культивування професійних таємниць і секретів від «непосвячених).</w:t>
      </w:r>
    </w:p>
    <w:p w:rsidR="00D5387B" w:rsidRPr="00D5387B" w:rsidRDefault="00D5387B" w:rsidP="00D5387B">
      <w:pPr>
        <w:pStyle w:val="a3"/>
        <w:numPr>
          <w:ilvl w:val="0"/>
          <w:numId w:val="1"/>
        </w:numPr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i/>
          <w:iCs/>
          <w:sz w:val="28"/>
          <w:szCs w:val="28"/>
        </w:rPr>
        <w:t>Чинники, що стимулюють трудову активність фахівця</w:t>
      </w:r>
      <w:r w:rsidRPr="00D5387B">
        <w:rPr>
          <w:rStyle w:val="tlid-translation"/>
          <w:sz w:val="28"/>
          <w:szCs w:val="28"/>
        </w:rPr>
        <w:t>. Основні з них лежать в о</w:t>
      </w:r>
      <w:r w:rsidRPr="00D5387B">
        <w:rPr>
          <w:rStyle w:val="tlid-translation"/>
          <w:sz w:val="28"/>
          <w:szCs w:val="28"/>
        </w:rPr>
        <w:t>б</w:t>
      </w:r>
      <w:r w:rsidRPr="00D5387B">
        <w:rPr>
          <w:rStyle w:val="tlid-translation"/>
          <w:sz w:val="28"/>
          <w:szCs w:val="28"/>
        </w:rPr>
        <w:t>ласті «людських відносин». Сюди відносяться вміння спілкуватися, будувати свої відносини на основі взаєморозуміння, поваги і співпраці. Важливими чинниками, що мотивують позитивне ставлення фахівця до праці, є привабливість самої праці, інтерес до неї, прагнення до визнання і орієнтація на успіх.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Робота має відповідати наступним найважливішим вимогам: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це повинна бути цікава, захоплююча робота;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в колективі має панувати взаємоповага;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нормою має бути схвалення і стимулювання успіхів у роботі;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працівник повинен мати можливість самовдосконалення;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має бути взаємодія з керівником, здатним оцінити слушна пропозиція;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співробітнику має бути надана можливість творчого підходу до роботи;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співробітник повинен бачити результати своєї праці;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керівник повинен бути гідною людиною;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робота повинна вимагати напруги сил;</w:t>
      </w:r>
    </w:p>
    <w:p w:rsidR="00D5387B" w:rsidRPr="00D5387B" w:rsidRDefault="00D5387B" w:rsidP="00D5387B">
      <w:pPr>
        <w:pStyle w:val="a3"/>
        <w:tabs>
          <w:tab w:val="left" w:pos="-426"/>
          <w:tab w:val="left" w:pos="284"/>
        </w:tabs>
        <w:spacing w:line="360" w:lineRule="auto"/>
        <w:ind w:left="-567" w:firstLine="567"/>
        <w:jc w:val="both"/>
        <w:rPr>
          <w:rStyle w:val="tlid-translation"/>
          <w:sz w:val="28"/>
          <w:szCs w:val="28"/>
        </w:rPr>
      </w:pPr>
      <w:r w:rsidRPr="00D5387B">
        <w:rPr>
          <w:rStyle w:val="tlid-translation"/>
          <w:sz w:val="28"/>
          <w:szCs w:val="28"/>
        </w:rPr>
        <w:t>- співробітник повинен мати доступ до інформації, що стосується його роботи і стану справ в цілому.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center"/>
        <w:rPr>
          <w:rStyle w:val="tlid-translation"/>
          <w:rFonts w:ascii="Times New Roman" w:hAnsi="Times New Roman"/>
          <w:i/>
          <w:sz w:val="28"/>
          <w:szCs w:val="28"/>
          <w:lang w:val="uk-UA"/>
        </w:rPr>
      </w:pPr>
      <w:r w:rsidRPr="00D5387B">
        <w:rPr>
          <w:rFonts w:ascii="Times New Roman" w:hAnsi="Times New Roman"/>
          <w:b/>
          <w:bCs/>
          <w:i/>
          <w:sz w:val="28"/>
          <w:szCs w:val="28"/>
          <w:lang w:val="uk-UA"/>
        </w:rPr>
        <w:t>Питання для самостійної роботи:</w:t>
      </w:r>
      <w:bookmarkStart w:id="0" w:name="_GoBack"/>
      <w:bookmarkEnd w:id="0"/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1. Пояснить етимологію терміну "етика".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2. Що розумів Аристотель під «етикою»?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3. У чому він бачив основну мету етики?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4. Що є предметом етики як теорії моралі?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5. Що вивчає етика як вчення про людину і суспільство як моральних суб'єктів?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6. Чим відрізняється порядність від моралі?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7. Назвіть основні види професійної етики.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lastRenderedPageBreak/>
        <w:t>8. Як співвідносяться професійна та прикладна етика?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9. Назвіть загальні особливості професійної етики.</w:t>
      </w:r>
    </w:p>
    <w:p w:rsidR="00D5387B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10. Назвіть головні чинники, які мотивують робітника.</w:t>
      </w:r>
    </w:p>
    <w:p w:rsidR="00C30A38" w:rsidRPr="00D5387B" w:rsidRDefault="00D5387B" w:rsidP="00D5387B">
      <w:pPr>
        <w:tabs>
          <w:tab w:val="left" w:pos="-426"/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5387B">
        <w:rPr>
          <w:rStyle w:val="tlid-translation"/>
          <w:rFonts w:ascii="Times New Roman" w:hAnsi="Times New Roman"/>
          <w:sz w:val="28"/>
          <w:szCs w:val="28"/>
          <w:lang w:val="uk-UA"/>
        </w:rPr>
        <w:t>11. Яким вимогам має задовольняти робота?</w:t>
      </w:r>
    </w:p>
    <w:sectPr w:rsidR="00C30A38" w:rsidRPr="00D5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3F"/>
    <w:multiLevelType w:val="hybridMultilevel"/>
    <w:tmpl w:val="0A68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60"/>
    <w:rsid w:val="00335EA3"/>
    <w:rsid w:val="00A61560"/>
    <w:rsid w:val="00D5387B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7B"/>
    <w:pPr>
      <w:spacing w:after="160" w:line="259" w:lineRule="auto"/>
    </w:pPr>
    <w:rPr>
      <w:rFonts w:ascii="Calibri" w:eastAsia="Yu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tlid-translation">
    <w:name w:val="tlid-translation"/>
    <w:rsid w:val="00D5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7B"/>
    <w:pPr>
      <w:spacing w:after="160" w:line="259" w:lineRule="auto"/>
    </w:pPr>
    <w:rPr>
      <w:rFonts w:ascii="Calibri" w:eastAsia="Yu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tlid-translation">
    <w:name w:val="tlid-translation"/>
    <w:rsid w:val="00D5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4681</Characters>
  <Application>Microsoft Office Word</Application>
  <DocSecurity>0</DocSecurity>
  <Lines>39</Lines>
  <Paragraphs>10</Paragraphs>
  <ScaleCrop>false</ScaleCrop>
  <Company>Microsoft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2024-09-20T20:29:00Z</dcterms:created>
  <dcterms:modified xsi:type="dcterms:W3CDTF">2024-09-20T20:32:00Z</dcterms:modified>
</cp:coreProperties>
</file>