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521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за темою 1: Основні положення проектного аналізу</w:t>
      </w:r>
    </w:p>
    <w:p w14:paraId="399456F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практичного заняття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D6DEED3">
      <w:pPr>
        <w:pStyle w:val="7"/>
        <w:numPr>
          <w:ilvl w:val="0"/>
          <w:numId w:val="1"/>
        </w:numPr>
        <w:tabs>
          <w:tab w:val="clear" w:pos="425"/>
        </w:tabs>
        <w:spacing w:after="0" w:line="240" w:lineRule="auto"/>
        <w:ind w:left="425" w:leftChars="0" w:hanging="425" w:firstLine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задачі проектного аналізу. </w:t>
      </w:r>
    </w:p>
    <w:p w14:paraId="530F3E49">
      <w:pPr>
        <w:pStyle w:val="7"/>
        <w:numPr>
          <w:ilvl w:val="0"/>
          <w:numId w:val="1"/>
        </w:numPr>
        <w:tabs>
          <w:tab w:val="clear" w:pos="425"/>
        </w:tabs>
        <w:spacing w:after="0" w:line="240" w:lineRule="auto"/>
        <w:ind w:left="425" w:leftChars="0" w:hanging="425" w:firstLine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Концепція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629F56BD">
      <w:pPr>
        <w:pStyle w:val="7"/>
        <w:numPr>
          <w:ilvl w:val="0"/>
          <w:numId w:val="1"/>
        </w:numPr>
        <w:tabs>
          <w:tab w:val="clear" w:pos="425"/>
        </w:tabs>
        <w:spacing w:after="0" w:line="240" w:lineRule="auto"/>
        <w:ind w:left="425" w:leftChars="0" w:hanging="425" w:firstLine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Методологія проектного аналізу.</w:t>
      </w:r>
    </w:p>
    <w:p w14:paraId="50E1E098">
      <w:pPr>
        <w:pStyle w:val="7"/>
        <w:numPr>
          <w:ilvl w:val="0"/>
          <w:numId w:val="1"/>
        </w:numPr>
        <w:tabs>
          <w:tab w:val="clear" w:pos="425"/>
        </w:tabs>
        <w:spacing w:after="0" w:line="240" w:lineRule="auto"/>
        <w:ind w:left="425" w:leftChars="0" w:hanging="425" w:firstLine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Принципи проектного аналізу.</w:t>
      </w:r>
    </w:p>
    <w:p w14:paraId="04C0795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2354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за темою 2: Концепція проекту </w:t>
      </w:r>
    </w:p>
    <w:p w14:paraId="4317BE15">
      <w:pPr>
        <w:pStyle w:val="2"/>
        <w:keepNext w:val="0"/>
        <w:widowControl w:val="0"/>
        <w:tabs>
          <w:tab w:val="left" w:pos="567"/>
        </w:tabs>
        <w:spacing w:line="360" w:lineRule="auto"/>
        <w:ind w:left="0" w:leftChars="0" w:firstLine="0" w:firstLineChars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План практичного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заняття:</w:t>
      </w:r>
    </w:p>
    <w:p w14:paraId="105FAFF9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Chars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Сутність та визначення проекту.</w:t>
      </w:r>
    </w:p>
    <w:p w14:paraId="39243F8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Основні ознаки проекту. </w:t>
      </w:r>
    </w:p>
    <w:p w14:paraId="6116FC26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Класифікація проектів за масштабом, складністю, якістю та тривалістю.</w:t>
      </w:r>
    </w:p>
    <w:p w14:paraId="41FBF20A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Внутрішнє та зовнішнє середовище проекту.</w:t>
      </w:r>
    </w:p>
    <w:p w14:paraId="34D1B33C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Учасники проекту.</w:t>
      </w:r>
    </w:p>
    <w:p w14:paraId="582CE9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440E503">
      <w:pPr>
        <w:jc w:val="center"/>
        <w:rPr>
          <w:rFonts w:hint="default" w:ascii="Times New Roman" w:hAnsi="Times New Roman" w:cs="Times New Roman"/>
          <w:b/>
          <w:sz w:val="28"/>
          <w:szCs w:val="28"/>
          <w:highlight w:val="cyan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І. Питання для самостійного опрацювання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hint="default" w:ascii="Times New Roman" w:hAnsi="Times New Roman" w:cs="Times New Roman"/>
          <w:b/>
          <w:sz w:val="28"/>
          <w:szCs w:val="28"/>
          <w:highlight w:val="cyan"/>
          <w:lang w:val="uk-UA"/>
        </w:rPr>
        <w:t>(кожен вибирає одну тему для презентації )</w:t>
      </w:r>
    </w:p>
    <w:p w14:paraId="70274C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Історія (еволюція) розвитку проектного аналізу. </w:t>
      </w:r>
    </w:p>
    <w:p w14:paraId="5E3E5D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Тенденції розвитку сучасного бізнесу та інноваційного підприємництва.</w:t>
      </w:r>
    </w:p>
    <w:p w14:paraId="5282E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Місце і роль проектного аналізу в управлінській діяльності.</w:t>
      </w:r>
    </w:p>
    <w:p w14:paraId="67CB7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Проблеми вдосконалення методології проектного аналізу.</w:t>
      </w:r>
    </w:p>
    <w:p w14:paraId="1E9067B0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5. Базові теоретичні концепціі проектного аналізу.</w:t>
      </w:r>
    </w:p>
    <w:p w14:paraId="37A2C4C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6. Основні принципи проектного аналізу.</w:t>
      </w:r>
    </w:p>
    <w:p w14:paraId="5C83D12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7. Основні складові проектного аналізу.</w:t>
      </w:r>
    </w:p>
    <w:p w14:paraId="4EFA6F6E">
      <w:pPr>
        <w:pStyle w:val="7"/>
        <w:widowControl w:val="0"/>
        <w:numPr>
          <w:ilvl w:val="0"/>
          <w:numId w:val="0"/>
        </w:numPr>
        <w:tabs>
          <w:tab w:val="left" w:pos="4605"/>
        </w:tabs>
        <w:spacing w:after="0" w:line="240" w:lineRule="auto"/>
        <w:ind w:leftChars="0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hint="default" w:ascii="Times New Roman" w:hAnsi="Times New Roman" w:eastAsia="Calibri" w:cs="Times New Roman"/>
          <w:iCs/>
          <w:sz w:val="28"/>
          <w:szCs w:val="28"/>
          <w:lang w:val="uk-UA" w:eastAsia="en-US"/>
        </w:rPr>
        <w:t>8.</w:t>
      </w: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Проблеми ідентифікації середовища проекту та їх вплив на ефективність прийняття інвестиційних рішень.</w:t>
      </w:r>
    </w:p>
    <w:p w14:paraId="7891B0AA">
      <w:pPr>
        <w:pStyle w:val="7"/>
        <w:widowControl w:val="0"/>
        <w:numPr>
          <w:ilvl w:val="0"/>
          <w:numId w:val="0"/>
        </w:numPr>
        <w:tabs>
          <w:tab w:val="left" w:pos="4605"/>
        </w:tabs>
        <w:spacing w:after="0" w:line="240" w:lineRule="auto"/>
        <w:ind w:leftChars="0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hint="default" w:ascii="Times New Roman" w:hAnsi="Times New Roman" w:cs="Times New Roman"/>
          <w:spacing w:val="-4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Необхідність та доцільність визначення економічно залежних проектів в управлінській діяльності.</w:t>
      </w:r>
    </w:p>
    <w:p w14:paraId="08336492">
      <w:pPr>
        <w:pStyle w:val="7"/>
        <w:widowControl w:val="0"/>
        <w:numPr>
          <w:ilvl w:val="0"/>
          <w:numId w:val="0"/>
        </w:numPr>
        <w:tabs>
          <w:tab w:val="left" w:pos="4605"/>
        </w:tabs>
        <w:spacing w:after="0" w:line="240" w:lineRule="auto"/>
        <w:ind w:leftChars="0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hint="default" w:ascii="Times New Roman" w:hAnsi="Times New Roman" w:eastAsia="Calibri" w:cs="Times New Roman"/>
          <w:iCs/>
          <w:sz w:val="28"/>
          <w:szCs w:val="28"/>
          <w:lang w:val="uk-UA" w:eastAsia="en-US"/>
        </w:rPr>
        <w:t xml:space="preserve">10. </w:t>
      </w: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Проекти, які змінили наше життя назавжди.</w:t>
      </w:r>
    </w:p>
    <w:p w14:paraId="36A5DD6D">
      <w:pPr>
        <w:pStyle w:val="7"/>
        <w:widowControl w:val="0"/>
        <w:numPr>
          <w:ilvl w:val="0"/>
          <w:numId w:val="0"/>
        </w:numPr>
        <w:tabs>
          <w:tab w:val="left" w:pos="4605"/>
        </w:tabs>
        <w:spacing w:after="0" w:line="240" w:lineRule="auto"/>
        <w:ind w:leftChars="0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hint="default" w:ascii="Times New Roman" w:hAnsi="Times New Roman" w:eastAsia="Calibri" w:cs="Times New Roman"/>
          <w:iCs/>
          <w:sz w:val="28"/>
          <w:szCs w:val="28"/>
          <w:lang w:val="uk-UA" w:eastAsia="en-US"/>
        </w:rPr>
        <w:t xml:space="preserve">11. </w:t>
      </w: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Активні та пасивні учасники проекту.</w:t>
      </w:r>
    </w:p>
    <w:p w14:paraId="545992D4">
      <w:pPr>
        <w:pStyle w:val="7"/>
        <w:widowControl w:val="0"/>
        <w:numPr>
          <w:ilvl w:val="0"/>
          <w:numId w:val="0"/>
        </w:numPr>
        <w:tabs>
          <w:tab w:val="left" w:pos="4605"/>
        </w:tabs>
        <w:spacing w:after="0" w:line="240" w:lineRule="auto"/>
        <w:ind w:leftChars="0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hint="default" w:ascii="Times New Roman" w:hAnsi="Times New Roman" w:eastAsia="Calibri" w:cs="Times New Roman"/>
          <w:iCs/>
          <w:sz w:val="28"/>
          <w:szCs w:val="28"/>
          <w:lang w:val="uk-UA" w:eastAsia="en-US"/>
        </w:rPr>
        <w:t xml:space="preserve">12. </w:t>
      </w: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Правило «</w:t>
      </w:r>
      <w:r>
        <w:rPr>
          <w:rFonts w:ascii="Times New Roman" w:hAnsi="Times New Roman" w:eastAsia="Calibri" w:cs="Times New Roman"/>
          <w:iCs/>
          <w:sz w:val="28"/>
          <w:szCs w:val="28"/>
          <w:lang w:val="en-US" w:eastAsia="en-US"/>
        </w:rPr>
        <w:t>SMART</w:t>
      </w: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»</w:t>
      </w:r>
    </w:p>
    <w:p w14:paraId="33EA6EDA">
      <w:pPr>
        <w:pStyle w:val="7"/>
        <w:widowControl w:val="0"/>
        <w:numPr>
          <w:ilvl w:val="0"/>
          <w:numId w:val="0"/>
        </w:numPr>
        <w:tabs>
          <w:tab w:val="left" w:pos="4605"/>
        </w:tabs>
        <w:spacing w:after="0" w:line="240" w:lineRule="auto"/>
        <w:ind w:leftChars="0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hint="default" w:ascii="Times New Roman" w:hAnsi="Times New Roman" w:eastAsia="Calibri" w:cs="Times New Roman"/>
          <w:iCs/>
          <w:sz w:val="28"/>
          <w:szCs w:val="28"/>
          <w:lang w:val="uk-UA" w:eastAsia="en-US"/>
        </w:rPr>
        <w:t xml:space="preserve">13. </w:t>
      </w: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Етапи управління проектом та методи проектного аналізу;</w:t>
      </w:r>
    </w:p>
    <w:p w14:paraId="0123329A">
      <w:pPr>
        <w:pStyle w:val="7"/>
        <w:widowControl w:val="0"/>
        <w:numPr>
          <w:ilvl w:val="0"/>
          <w:numId w:val="0"/>
        </w:numPr>
        <w:tabs>
          <w:tab w:val="left" w:pos="4605"/>
        </w:tabs>
        <w:spacing w:after="0" w:line="240" w:lineRule="auto"/>
        <w:ind w:leftChars="0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hint="default" w:ascii="Times New Roman" w:hAnsi="Times New Roman" w:eastAsia="Calibri" w:cs="Times New Roman"/>
          <w:iCs/>
          <w:sz w:val="28"/>
          <w:szCs w:val="28"/>
          <w:lang w:val="uk-UA" w:eastAsia="en-US"/>
        </w:rPr>
        <w:t xml:space="preserve">14. </w:t>
      </w: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Автоматизовані методи планування в проектному аналізі.</w:t>
      </w:r>
    </w:p>
    <w:p w14:paraId="46DD131A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15. Проблеми проведення експертизи проектів в Україні.</w:t>
      </w:r>
    </w:p>
    <w:p w14:paraId="52321B7E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16. Тендери: Практика використання при реалізації проектів.</w:t>
      </w:r>
    </w:p>
    <w:p w14:paraId="76F958A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17. Проблеми оцінки негативного екологічного впливу при реалізації проектів.</w:t>
      </w:r>
    </w:p>
    <w:p w14:paraId="66D3C7B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18. Проблеми оцінки вартості землі при прийнятті проектних рішень.</w:t>
      </w:r>
    </w:p>
    <w:p w14:paraId="0FC373C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19.Оцінка інвестиційної привабливості країни, галузі, підприємства.</w:t>
      </w:r>
    </w:p>
    <w:p w14:paraId="2F65793F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20. Поняття ануїтету та його види.</w:t>
      </w:r>
    </w:p>
    <w:p w14:paraId="29424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Пояснення: </w:t>
      </w:r>
      <w:r>
        <w:rPr>
          <w:rFonts w:ascii="Times New Roman" w:hAnsi="Times New Roman" w:cs="Times New Roman"/>
          <w:sz w:val="28"/>
          <w:szCs w:val="28"/>
        </w:rPr>
        <w:t xml:space="preserve">Питання, які виносяться на самостійне опрацювання, є </w:t>
      </w:r>
      <w:r>
        <w:rPr>
          <w:rFonts w:ascii="Times New Roman" w:hAnsi="Times New Roman" w:cs="Times New Roman"/>
          <w:b/>
          <w:sz w:val="28"/>
          <w:szCs w:val="28"/>
        </w:rPr>
        <w:t>обов’язковими для всіх здобувачів</w:t>
      </w:r>
      <w:r>
        <w:rPr>
          <w:rFonts w:ascii="Times New Roman" w:hAnsi="Times New Roman" w:cs="Times New Roman"/>
          <w:sz w:val="28"/>
          <w:szCs w:val="28"/>
        </w:rPr>
        <w:t xml:space="preserve"> та виконуються письмово. Форма представлення інформації – презентація. </w:t>
      </w:r>
    </w:p>
    <w:p w14:paraId="58F8A25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презентації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F71E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Титульний аркуш, на якому зазначається:</w:t>
      </w:r>
    </w:p>
    <w:p w14:paraId="047A51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 питання, яке розглядається (наприклад,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пасивні учасники проекту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A8C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Прізвище Ім’я студента. Група</w:t>
      </w:r>
    </w:p>
    <w:p w14:paraId="4238B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Зміст питання</w:t>
      </w:r>
    </w:p>
    <w:p w14:paraId="3C9AC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Література (максимум до 5 джерел. Якщо використовуєте електронні підручники/навчальні посібники, обов’язково вказати посилання на цей ресурс)</w:t>
      </w:r>
    </w:p>
    <w:p w14:paraId="69C588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9C59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презентації: зміст питання має бути розкритий. </w:t>
      </w:r>
    </w:p>
    <w:p w14:paraId="253E4D52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слайдів – </w:t>
      </w:r>
      <w:r>
        <w:rPr>
          <w:rFonts w:ascii="Times New Roman" w:hAnsi="Times New Roman" w:cs="Times New Roman"/>
          <w:sz w:val="28"/>
          <w:szCs w:val="28"/>
          <w:lang w:val="uk-UA"/>
        </w:rPr>
        <w:t>бажано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 межах 10 слайдів та </w:t>
      </w:r>
      <w:r>
        <w:rPr>
          <w:rFonts w:ascii="Times New Roman" w:hAnsi="Times New Roman" w:cs="Times New Roman"/>
          <w:sz w:val="28"/>
          <w:szCs w:val="28"/>
        </w:rPr>
        <w:t>надсилаємо для перевірки та оцінювання на пошту: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212529"/>
          <w:spacing w:val="0"/>
          <w:sz w:val="24"/>
          <w:szCs w:val="24"/>
          <w:highlight w:val="cyan"/>
          <w:shd w:val="clear" w:fill="FFFFFF"/>
        </w:rPr>
        <w:t>ek_bto@ztu.edu.ua</w:t>
      </w:r>
    </w:p>
    <w:p w14:paraId="7118BC5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E45A62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НАЗВА ФАЙЛУ: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Прізвище_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Група</w:t>
      </w:r>
    </w:p>
    <w:p w14:paraId="4015D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9EC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Практичні завдання: </w:t>
      </w:r>
    </w:p>
    <w:p w14:paraId="2B8E98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</w:p>
    <w:p w14:paraId="452111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Згрупуйте відповідні терміни та визначення згідно даних таблиці:</w:t>
      </w:r>
    </w:p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219"/>
      </w:tblGrid>
      <w:tr w14:paraId="1525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3828" w:type="dxa"/>
            <w:vAlign w:val="center"/>
          </w:tcPr>
          <w:p w14:paraId="298529EA">
            <w:pPr>
              <w:pStyle w:val="8"/>
              <w:widowControl w:val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6219" w:type="dxa"/>
            <w:vAlign w:val="center"/>
          </w:tcPr>
          <w:p w14:paraId="6F93BB9C">
            <w:pPr>
              <w:pStyle w:val="8"/>
              <w:widowControl w:val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Визначення</w:t>
            </w:r>
          </w:p>
        </w:tc>
      </w:tr>
      <w:tr w14:paraId="1938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828" w:type="dxa"/>
          </w:tcPr>
          <w:p w14:paraId="0CD7B826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А. Проектний аналіз</w:t>
            </w:r>
          </w:p>
        </w:tc>
        <w:tc>
          <w:tcPr>
            <w:tcW w:w="6219" w:type="dxa"/>
          </w:tcPr>
          <w:p w14:paraId="42CC4EAB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1.Встановлення “цінності” проекту, що визначається різницею між його вигодами і витратами.</w:t>
            </w:r>
          </w:p>
        </w:tc>
      </w:tr>
      <w:tr w14:paraId="084A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828" w:type="dxa"/>
          </w:tcPr>
          <w:p w14:paraId="62F11A66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Б. Задача проектного аналізу</w:t>
            </w:r>
          </w:p>
        </w:tc>
        <w:tc>
          <w:tcPr>
            <w:tcW w:w="6219" w:type="dxa"/>
          </w:tcPr>
          <w:p w14:paraId="779D20B2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2.Вивчення концепцій, методологій, підходів і критеріїв визначення, порівняння, обґрунтування альтернативних рішень та проектів за умов обмеженості наявних ресурсів.</w:t>
            </w:r>
          </w:p>
        </w:tc>
      </w:tr>
      <w:tr w14:paraId="6E38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828" w:type="dxa"/>
          </w:tcPr>
          <w:p w14:paraId="435E04E2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 Об’єкт проектного аналізу</w:t>
            </w:r>
          </w:p>
        </w:tc>
        <w:tc>
          <w:tcPr>
            <w:tcW w:w="6219" w:type="dxa"/>
          </w:tcPr>
          <w:p w14:paraId="685588E2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3.Набір методичних принципів, які визначають послідовність збору та способів аналізу даних, методів визначення інвестиційних пріоритетів, способів урахування широкого кола аспектів до прийняття рішень про реалізацію проекту.</w:t>
            </w:r>
          </w:p>
        </w:tc>
      </w:tr>
      <w:tr w14:paraId="5E21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28" w:type="dxa"/>
          </w:tcPr>
          <w:p w14:paraId="40D66751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Г. Предмет проектного аналізу</w:t>
            </w:r>
          </w:p>
        </w:tc>
        <w:tc>
          <w:tcPr>
            <w:tcW w:w="6219" w:type="dxa"/>
          </w:tcPr>
          <w:p w14:paraId="695662F9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4.Методологія, яка застосовується для визначення, порівняння та обґрунтування альтернативних управлінських рішень і проектів, що дозволяє здійснювати вибір і приймати вивірені рішення в умовах обмеженості ресурсів.</w:t>
            </w:r>
          </w:p>
        </w:tc>
      </w:tr>
      <w:tr w14:paraId="620F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828" w:type="dxa"/>
          </w:tcPr>
          <w:p w14:paraId="6516C39C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Інструментарій проектного аналізу</w:t>
            </w:r>
          </w:p>
        </w:tc>
        <w:tc>
          <w:tcPr>
            <w:tcW w:w="6219" w:type="dxa"/>
          </w:tcPr>
          <w:p w14:paraId="001A14FA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5.Інвестиційні проекти розширення, реконструкції, нового будівництва, технічного переозброєння промислових виробництв.</w:t>
            </w:r>
          </w:p>
        </w:tc>
      </w:tr>
      <w:tr w14:paraId="7836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828" w:type="dxa"/>
          </w:tcPr>
          <w:p w14:paraId="51A326A8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Ж.</w:t>
            </w:r>
            <w:r>
              <w:rPr>
                <w:sz w:val="24"/>
                <w:szCs w:val="24"/>
                <w:lang w:val="uk-UA"/>
              </w:rPr>
              <w:t xml:space="preserve"> Проект</w:t>
            </w:r>
          </w:p>
        </w:tc>
        <w:tc>
          <w:tcPr>
            <w:tcW w:w="6219" w:type="dxa"/>
          </w:tcPr>
          <w:p w14:paraId="5E311176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6.Бажаний та доведений результат, досягнутий у межах певного строку при заданих умовах реалізації проекту.</w:t>
            </w:r>
          </w:p>
        </w:tc>
      </w:tr>
      <w:tr w14:paraId="2287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828" w:type="dxa"/>
          </w:tcPr>
          <w:p w14:paraId="0C88EF1E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З. Мета проекту</w:t>
            </w:r>
          </w:p>
        </w:tc>
        <w:tc>
          <w:tcPr>
            <w:tcW w:w="6219" w:type="dxa"/>
          </w:tcPr>
          <w:p w14:paraId="4ED1FD1A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7.Проекти, отримання вигід від яких обумовлено прийняттям іншого проекту.</w:t>
            </w:r>
          </w:p>
        </w:tc>
      </w:tr>
      <w:tr w14:paraId="7E6F6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828" w:type="dxa"/>
          </w:tcPr>
          <w:p w14:paraId="11C8A501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К. Учасники проекту</w:t>
            </w:r>
          </w:p>
        </w:tc>
        <w:tc>
          <w:tcPr>
            <w:tcW w:w="6219" w:type="dxa"/>
          </w:tcPr>
          <w:p w14:paraId="45B182DB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8.Проекти, що збільшують рентабельність один одного, причому зріст прибутковості одного проекту може базуватися як на зниженні витрат, так і на збільшенні вигід.</w:t>
            </w:r>
          </w:p>
        </w:tc>
      </w:tr>
      <w:tr w14:paraId="4632B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28" w:type="dxa"/>
          </w:tcPr>
          <w:p w14:paraId="546C02D2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Л. Взаємовиключаючі проекти</w:t>
            </w:r>
          </w:p>
        </w:tc>
        <w:tc>
          <w:tcPr>
            <w:tcW w:w="6219" w:type="dxa"/>
          </w:tcPr>
          <w:p w14:paraId="1004A5D3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9.Реалізують різні інтереси у процесі здійснення проекту, формують власні вимоги відповідно до цілей та мотивації і впливають на проект, виходячи зі своїх інтересів, компетенції та ступеня залучення до проекту.</w:t>
            </w:r>
          </w:p>
        </w:tc>
      </w:tr>
      <w:tr w14:paraId="5606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3828" w:type="dxa"/>
          </w:tcPr>
          <w:p w14:paraId="0F43481C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Умовні проекти</w:t>
            </w:r>
          </w:p>
        </w:tc>
        <w:tc>
          <w:tcPr>
            <w:tcW w:w="6219" w:type="dxa"/>
          </w:tcPr>
          <w:p w14:paraId="02379661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10.Одноразовий комплекс взаємопов’язаних заходів, спрямований на досягнення чітко визначеної мети при встановленому матеріальному (ресурсному) забезпечення протягом заданого періоду часу. </w:t>
            </w:r>
          </w:p>
        </w:tc>
      </w:tr>
      <w:tr w14:paraId="4E23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828" w:type="dxa"/>
          </w:tcPr>
          <w:p w14:paraId="0D4E1AD6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Н. Синергічні проекти</w:t>
            </w:r>
          </w:p>
        </w:tc>
        <w:tc>
          <w:tcPr>
            <w:tcW w:w="6219" w:type="dxa"/>
          </w:tcPr>
          <w:p w14:paraId="7B1FAC93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11.Проекти, реалізація яких недоцільна при прийнятті рішення про здійснення іншого проекту, оскільки прибутковість першого знижується до нульового рівня.</w:t>
            </w:r>
          </w:p>
        </w:tc>
      </w:tr>
      <w:tr w14:paraId="2604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828" w:type="dxa"/>
          </w:tcPr>
          <w:p w14:paraId="3BBE9031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О. Основні ознаки проекту</w:t>
            </w:r>
          </w:p>
        </w:tc>
        <w:tc>
          <w:tcPr>
            <w:tcW w:w="6219" w:type="dxa"/>
          </w:tcPr>
          <w:p w14:paraId="789D8E11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 Стиль керівництва проекту; економічне; організація проекту; соціальне; методи та засоби комунікації</w:t>
            </w:r>
          </w:p>
        </w:tc>
      </w:tr>
      <w:tr w14:paraId="0104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828" w:type="dxa"/>
          </w:tcPr>
          <w:p w14:paraId="1AC1EB38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П. Внутрішнє середовище проекту</w:t>
            </w:r>
          </w:p>
        </w:tc>
        <w:tc>
          <w:tcPr>
            <w:tcW w:w="6219" w:type="dxa"/>
          </w:tcPr>
          <w:p w14:paraId="6BB230CD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 Економічне; культурне; політичне; науково-технічне; правове4 природне</w:t>
            </w:r>
          </w:p>
        </w:tc>
      </w:tr>
      <w:tr w14:paraId="0529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828" w:type="dxa"/>
          </w:tcPr>
          <w:p w14:paraId="19893F9D">
            <w:pPr>
              <w:pStyle w:val="8"/>
              <w:widowControl w:val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Р. Зовнішнє середовище проекту</w:t>
            </w:r>
          </w:p>
        </w:tc>
        <w:tc>
          <w:tcPr>
            <w:tcW w:w="6219" w:type="dxa"/>
          </w:tcPr>
          <w:p w14:paraId="04C91775">
            <w:pPr>
              <w:pStyle w:val="8"/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 Обмеженість ресурсів, життєвий цикл, спрямованість на досягнення мети, обмеженість у часі, кількісна вимірюванність, неповторність та унікальність, очікування результату</w:t>
            </w:r>
          </w:p>
        </w:tc>
      </w:tr>
    </w:tbl>
    <w:p w14:paraId="3F7A4BD9">
      <w:pPr>
        <w:keepNext w:val="0"/>
        <w:keepLines w:val="0"/>
        <w:widowControl/>
        <w:suppressLineNumbers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B249D5"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</w:p>
    <w:p w14:paraId="10C67E98">
      <w:pPr>
        <w:keepNext w:val="0"/>
        <w:keepLines w:val="0"/>
        <w:widowControl/>
        <w:suppressLineNumbers w:val="0"/>
        <w:spacing w:line="24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Скласти словник термінів до теми: (кожний вибирає 5 термінів)</w:t>
      </w:r>
    </w:p>
    <w:p w14:paraId="5A6D090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TimesNewRomanPS-BoldItalicMT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Ключові поняття</w:t>
      </w:r>
      <w:r>
        <w:rPr>
          <w:rFonts w:hint="default" w:ascii="Times New Roman" w:hAnsi="Times New Roman" w:eastAsia="TimesNewRomanPS-BoldItalicMT" w:cs="Times New Roman"/>
          <w:b/>
          <w:bCs/>
          <w:i/>
          <w:iCs/>
          <w:color w:val="000000"/>
          <w:kern w:val="0"/>
          <w:sz w:val="28"/>
          <w:szCs w:val="28"/>
          <w:lang w:val="uk-UA" w:eastAsia="zh-CN" w:bidi="ar"/>
        </w:rPr>
        <w:t xml:space="preserve"> за темами 1,2</w:t>
      </w:r>
      <w:r>
        <w:rPr>
          <w:rFonts w:hint="default" w:ascii="Times New Roman" w:hAnsi="Times New Roman" w:eastAsia="TimesNewRomanPS-BoldItalicMT" w:cs="Times New Roman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: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проектний аналіз, об’єкт проектного аналізу, предмет проектного аналізу, завдання проектного аналізу,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uk-UA" w:eastAsia="zh-CN" w:bidi="ar"/>
        </w:rPr>
        <w:t xml:space="preserve">основні складові проектного аналізу,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проект,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uk-UA" w:eastAsia="zh-CN" w:bidi="ar"/>
        </w:rPr>
        <w:t xml:space="preserve"> план, програма,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мета проекту, ознаки проекту, класифікація та види проектів (монопроект, мультипроект, мегапроект, короткострокові, середньострокові,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довгострокові, дрібні, середні, великі, дуже великі, промислові, проекти дослідження й розвитку, організаційні, економічні, соціальні, незалежні, взаємовиключаючі, умовні, заміщуючі, синергічні та ін.), інвестиції, інвестиційна діяльність, суб’єкти інвестиційної діяльності, реальні інвестиції, фінансові інвестиції, інструментарій проектного аналізу, аспекти проектного аналізу, методи оцінки та прийняття рішень в проектному аналізі, принципи проектного аналізу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uk-UA" w:eastAsia="zh-CN" w:bidi="ar"/>
        </w:rPr>
        <w:t>, внутрішнє та зовнішнє оточення проекту, учасники проекту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ItalicMT" w:cs="Times New Roman"/>
          <w:i/>
          <w:iCs/>
          <w:color w:val="000000"/>
          <w:kern w:val="0"/>
          <w:sz w:val="28"/>
          <w:szCs w:val="28"/>
          <w:lang w:val="uk-UA" w:eastAsia="zh-CN" w:bidi="ar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7002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7ACB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4673" w:type="dxa"/>
          </w:tcPr>
          <w:p w14:paraId="26D45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 поняття</w:t>
            </w:r>
          </w:p>
        </w:tc>
      </w:tr>
      <w:tr w14:paraId="74316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D06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14:paraId="67538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95068BB">
      <w:pPr>
        <w:widowControl w:val="0"/>
        <w:tabs>
          <w:tab w:val="left" w:pos="4605"/>
        </w:tabs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 w14:paraId="6060C058">
      <w:pPr>
        <w:widowControl w:val="0"/>
        <w:tabs>
          <w:tab w:val="left" w:pos="4605"/>
        </w:tabs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.</w:t>
      </w:r>
    </w:p>
    <w:p w14:paraId="7ABFCB74">
      <w:pPr>
        <w:widowControl w:val="0"/>
        <w:tabs>
          <w:tab w:val="left" w:pos="4605"/>
        </w:tabs>
        <w:spacing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  <w:r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  <w:t>Розподілити наведені фактори впливу на реалізацію проекту на відповідні групи, результати занести у таблицю:</w:t>
      </w:r>
    </w:p>
    <w:tbl>
      <w:tblPr>
        <w:tblStyle w:val="6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336"/>
        <w:gridCol w:w="2336"/>
        <w:gridCol w:w="2337"/>
      </w:tblGrid>
      <w:tr w14:paraId="63C1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vMerge w:val="restart"/>
          </w:tcPr>
          <w:p w14:paraId="2AED1907">
            <w:pPr>
              <w:widowControl w:val="0"/>
              <w:tabs>
                <w:tab w:val="left" w:pos="4605"/>
              </w:tabs>
              <w:spacing w:after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  <w:t>Внутрішні фактори</w:t>
            </w:r>
          </w:p>
        </w:tc>
        <w:tc>
          <w:tcPr>
            <w:tcW w:w="7009" w:type="dxa"/>
            <w:gridSpan w:val="3"/>
          </w:tcPr>
          <w:p w14:paraId="64E5ECFE">
            <w:pPr>
              <w:widowControl w:val="0"/>
              <w:tabs>
                <w:tab w:val="left" w:pos="4605"/>
              </w:tabs>
              <w:spacing w:after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  <w:t>Зовнішні фактори</w:t>
            </w:r>
          </w:p>
        </w:tc>
      </w:tr>
      <w:tr w14:paraId="44E2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vMerge w:val="continue"/>
          </w:tcPr>
          <w:p w14:paraId="1C4CDBD0">
            <w:pPr>
              <w:widowControl w:val="0"/>
              <w:tabs>
                <w:tab w:val="left" w:pos="4605"/>
              </w:tabs>
              <w:spacing w:after="0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2336" w:type="dxa"/>
          </w:tcPr>
          <w:p w14:paraId="4B998D95">
            <w:pPr>
              <w:widowControl w:val="0"/>
              <w:tabs>
                <w:tab w:val="left" w:pos="4605"/>
              </w:tabs>
              <w:spacing w:after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  <w:t>Економічні</w:t>
            </w:r>
          </w:p>
        </w:tc>
        <w:tc>
          <w:tcPr>
            <w:tcW w:w="2336" w:type="dxa"/>
          </w:tcPr>
          <w:p w14:paraId="5CD970DB">
            <w:pPr>
              <w:widowControl w:val="0"/>
              <w:tabs>
                <w:tab w:val="left" w:pos="4605"/>
              </w:tabs>
              <w:spacing w:after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  <w:t>Політико-правові</w:t>
            </w:r>
          </w:p>
        </w:tc>
        <w:tc>
          <w:tcPr>
            <w:tcW w:w="2337" w:type="dxa"/>
          </w:tcPr>
          <w:p w14:paraId="1CCB78B2">
            <w:pPr>
              <w:widowControl w:val="0"/>
              <w:tabs>
                <w:tab w:val="left" w:pos="4605"/>
              </w:tabs>
              <w:spacing w:after="0"/>
              <w:jc w:val="center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  <w:t>Соціальні</w:t>
            </w:r>
          </w:p>
        </w:tc>
      </w:tr>
      <w:tr w14:paraId="76A7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</w:tcPr>
          <w:p w14:paraId="309F5936">
            <w:pPr>
              <w:widowControl w:val="0"/>
              <w:tabs>
                <w:tab w:val="left" w:pos="4605"/>
              </w:tabs>
              <w:spacing w:after="0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2336" w:type="dxa"/>
          </w:tcPr>
          <w:p w14:paraId="6C2E33DF">
            <w:pPr>
              <w:widowControl w:val="0"/>
              <w:tabs>
                <w:tab w:val="left" w:pos="4605"/>
              </w:tabs>
              <w:spacing w:after="0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2336" w:type="dxa"/>
          </w:tcPr>
          <w:p w14:paraId="4388E840">
            <w:pPr>
              <w:widowControl w:val="0"/>
              <w:tabs>
                <w:tab w:val="left" w:pos="4605"/>
              </w:tabs>
              <w:spacing w:after="0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</w:p>
        </w:tc>
        <w:tc>
          <w:tcPr>
            <w:tcW w:w="2337" w:type="dxa"/>
          </w:tcPr>
          <w:p w14:paraId="7642AB00">
            <w:pPr>
              <w:widowControl w:val="0"/>
              <w:tabs>
                <w:tab w:val="left" w:pos="4605"/>
              </w:tabs>
              <w:spacing w:after="0"/>
              <w:jc w:val="both"/>
              <w:rPr>
                <w:rFonts w:ascii="Times New Roman" w:hAnsi="Times New Roman" w:eastAsia="Calibri" w:cs="Times New Roman"/>
                <w:iCs/>
                <w:sz w:val="24"/>
                <w:szCs w:val="24"/>
                <w:lang w:val="uk-UA" w:eastAsia="en-US"/>
              </w:rPr>
            </w:pPr>
          </w:p>
        </w:tc>
      </w:tr>
    </w:tbl>
    <w:p w14:paraId="025117A4">
      <w:pPr>
        <w:widowControl w:val="0"/>
        <w:tabs>
          <w:tab w:val="left" w:pos="4605"/>
        </w:tabs>
        <w:spacing w:after="0"/>
        <w:ind w:firstLine="567"/>
        <w:jc w:val="both"/>
        <w:rPr>
          <w:rFonts w:ascii="Times New Roman" w:hAnsi="Times New Roman" w:eastAsia="Calibri" w:cs="Times New Roman"/>
          <w:iCs/>
          <w:sz w:val="28"/>
          <w:szCs w:val="28"/>
          <w:lang w:val="uk-UA" w:eastAsia="en-US"/>
        </w:rPr>
      </w:pPr>
    </w:p>
    <w:p w14:paraId="7C04AABE">
      <w:pPr>
        <w:widowControl w:val="0"/>
        <w:tabs>
          <w:tab w:val="left" w:pos="4605"/>
        </w:tabs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bCs/>
          <w:i/>
          <w:sz w:val="28"/>
          <w:szCs w:val="28"/>
          <w:lang w:val="uk-UA" w:eastAsia="en-US"/>
        </w:rPr>
        <w:t xml:space="preserve">Перелік факторів: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тарифи та податки;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умови та рівень життя;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страхові гарантії; рівень інфляції; стабільність валюти; стиль керівництва проектом; стан розвитку банківської системи; рівень технічного та матеріально-економічного забезпечення управлінської структури проекту; джерела інвестицій і капітальних вкладень;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адекватність трудового законодавства суспільним змінам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наявність інвестора; ступінь свободи підприємництва й господарської самостійності;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рівень освіченості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наявність ринкової інфраструктури;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ставлення місцевого населення до проекту;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підтримка проекту урядом; політична ситуація в країні; наявність внутрішніх джерел інвестицій; валютне регулювання; бюджет проекту; контроль за дотриманням державних норм і стандартів; структура ВВП; система охорони здоров’я; свобода слова; стабільність законодавства; компетентність розробників проекту; платоспроможність клієнта; наявність ефективних комунікацій між учасниками проекту; наявність активів у підприємства.</w:t>
      </w:r>
    </w:p>
    <w:p w14:paraId="5A1735C2">
      <w:pPr>
        <w:widowControl w:val="0"/>
        <w:tabs>
          <w:tab w:val="left" w:pos="4605"/>
        </w:tabs>
        <w:spacing w:after="0"/>
        <w:jc w:val="center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14:paraId="47763243">
      <w:pPr>
        <w:widowControl w:val="0"/>
        <w:tabs>
          <w:tab w:val="left" w:pos="4605"/>
        </w:tabs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.</w:t>
      </w:r>
    </w:p>
    <w:p w14:paraId="1C730591">
      <w:pPr>
        <w:spacing w:after="0" w:line="259" w:lineRule="auto"/>
        <w:rPr>
          <w:rFonts w:ascii="Times New Roman" w:hAnsi="Times New Roman" w:eastAsia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val="uk-UA"/>
        </w:rPr>
        <w:t>Проведіть класифікацію за різними ознаками таких проектів:</w:t>
      </w:r>
    </w:p>
    <w:p w14:paraId="03A93B42">
      <w:pPr>
        <w:numPr>
          <w:ilvl w:val="0"/>
          <w:numId w:val="3"/>
        </w:numPr>
        <w:spacing w:after="0" w:line="259" w:lineRule="auto"/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  <w:t>Створення фабрики корпусних меблів в Україні спільно з партнером із західної Європи;</w:t>
      </w:r>
    </w:p>
    <w:p w14:paraId="0E531391">
      <w:pPr>
        <w:numPr>
          <w:ilvl w:val="0"/>
          <w:numId w:val="3"/>
        </w:numPr>
        <w:spacing w:after="0" w:line="259" w:lineRule="auto"/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  <w:t>Розробка газового родовища та експорту газу;</w:t>
      </w:r>
    </w:p>
    <w:p w14:paraId="24226B2F">
      <w:pPr>
        <w:numPr>
          <w:ilvl w:val="0"/>
          <w:numId w:val="3"/>
        </w:numPr>
        <w:spacing w:after="0" w:line="259" w:lineRule="auto"/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  <w:t>Будівництво нафтотерміналу;</w:t>
      </w:r>
    </w:p>
    <w:p w14:paraId="5776A4D1">
      <w:pPr>
        <w:numPr>
          <w:ilvl w:val="0"/>
          <w:numId w:val="3"/>
        </w:numPr>
        <w:spacing w:after="0" w:line="259" w:lineRule="auto"/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  <w:t>Приватизація середніх і малих підприємств в Україні;</w:t>
      </w:r>
    </w:p>
    <w:p w14:paraId="7D9DCF59">
      <w:pPr>
        <w:numPr>
          <w:ilvl w:val="0"/>
          <w:numId w:val="3"/>
        </w:numPr>
        <w:spacing w:after="0" w:line="259" w:lineRule="auto"/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val="uk-UA"/>
        </w:rPr>
        <w:t>Виробництво нового виду морозива.</w:t>
      </w:r>
    </w:p>
    <w:p w14:paraId="38906B6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03820"/>
    <w:multiLevelType w:val="singleLevel"/>
    <w:tmpl w:val="B240382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24E4D9"/>
    <w:multiLevelType w:val="singleLevel"/>
    <w:tmpl w:val="FE24E4D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518C8AF6"/>
    <w:multiLevelType w:val="singleLevel"/>
    <w:tmpl w:val="518C8AF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9D"/>
    <w:rsid w:val="00026DAB"/>
    <w:rsid w:val="00057B2A"/>
    <w:rsid w:val="00095827"/>
    <w:rsid w:val="004224CF"/>
    <w:rsid w:val="00A110BA"/>
    <w:rsid w:val="00A514EE"/>
    <w:rsid w:val="00B94660"/>
    <w:rsid w:val="00D21C16"/>
    <w:rsid w:val="00FD5D9D"/>
    <w:rsid w:val="204A0B08"/>
    <w:rsid w:val="2A8E4936"/>
    <w:rsid w:val="6C7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after="0" w:line="240" w:lineRule="auto"/>
      <w:ind w:firstLine="284"/>
      <w:jc w:val="center"/>
      <w:outlineLvl w:val="3"/>
    </w:pPr>
    <w:rPr>
      <w:rFonts w:ascii="Times New Roman" w:hAnsi="Times New Roman" w:eastAsia="Times New Roman" w:cs="Times New Roman"/>
      <w:b/>
      <w:sz w:val="20"/>
      <w:szCs w:val="20"/>
      <w:lang w:val="uk-U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link w:val="9"/>
    <w:qFormat/>
    <w:uiPriority w:val="0"/>
    <w:pPr>
      <w:spacing w:after="0" w:line="240" w:lineRule="auto"/>
      <w:ind w:firstLine="284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18"/>
      <w:szCs w:val="20"/>
      <w:lang w:val="ru-RU" w:eastAsia="ru-RU" w:bidi="ar-SA"/>
    </w:rPr>
  </w:style>
  <w:style w:type="character" w:customStyle="1" w:styleId="9">
    <w:name w:val="Основной текст 2 Знак"/>
    <w:basedOn w:val="3"/>
    <w:link w:val="5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664</Words>
  <Characters>3790</Characters>
  <Lines>31</Lines>
  <Paragraphs>8</Paragraphs>
  <TotalTime>5</TotalTime>
  <ScaleCrop>false</ScaleCrop>
  <LinksUpToDate>false</LinksUpToDate>
  <CharactersWithSpaces>4446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2022-09-30T07:30:00Z</dcterms:created>
  <dc:creator>Пользователь</dc:creator>
  <cp:lastModifiedBy>User</cp:lastModifiedBy>
  <dcterms:modified xsi:type="dcterms:W3CDTF">2024-09-23T21:32:36Z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B26D359738274D1482CC6950E0C6D14F_13</vt:lpwstr>
  </property>
</Properties>
</file>