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E3857" w14:textId="154FD564" w:rsidR="008B0EE9" w:rsidRPr="007105C9" w:rsidRDefault="008B0EE9" w:rsidP="007105C9">
      <w:pPr>
        <w:keepNext/>
        <w:jc w:val="center"/>
        <w:outlineLvl w:val="1"/>
        <w:rPr>
          <w:rFonts w:eastAsia="Batang"/>
          <w:bCs/>
          <w:iCs/>
          <w:color w:val="010000"/>
          <w:sz w:val="28"/>
          <w:szCs w:val="28"/>
          <w:lang w:val="uk-UA"/>
        </w:rPr>
      </w:pPr>
      <w:bookmarkStart w:id="0" w:name="_Toc533623668"/>
      <w:bookmarkStart w:id="1" w:name="_Toc134125469"/>
      <w:r w:rsidRPr="007105C9">
        <w:rPr>
          <w:rFonts w:eastAsia="Batang"/>
          <w:bCs/>
          <w:iCs/>
          <w:color w:val="010000"/>
          <w:sz w:val="28"/>
          <w:szCs w:val="28"/>
          <w:lang w:val="uk-UA"/>
        </w:rPr>
        <w:t>Диференціал.</w:t>
      </w:r>
      <w:bookmarkStart w:id="2" w:name="_Toc533623669"/>
      <w:bookmarkStart w:id="3" w:name="_Toc134125470"/>
      <w:bookmarkEnd w:id="0"/>
      <w:bookmarkEnd w:id="1"/>
      <w:r w:rsidR="00CE17A4" w:rsidRPr="007105C9">
        <w:rPr>
          <w:rFonts w:eastAsia="Batang"/>
          <w:bCs/>
          <w:iCs/>
          <w:color w:val="010000"/>
          <w:sz w:val="28"/>
          <w:szCs w:val="28"/>
          <w:lang w:val="uk-UA"/>
        </w:rPr>
        <w:t xml:space="preserve"> </w:t>
      </w:r>
      <w:r w:rsidRPr="007105C9">
        <w:rPr>
          <w:rFonts w:eastAsia="Batang"/>
          <w:bCs/>
          <w:iCs/>
          <w:color w:val="010000"/>
          <w:sz w:val="28"/>
          <w:szCs w:val="28"/>
          <w:lang w:val="uk-UA"/>
        </w:rPr>
        <w:t>Проектний розрахунок.</w:t>
      </w:r>
      <w:bookmarkEnd w:id="2"/>
      <w:bookmarkEnd w:id="3"/>
    </w:p>
    <w:p w14:paraId="0194189B" w14:textId="070E08FF" w:rsidR="008B0EE9" w:rsidRPr="007105C9" w:rsidRDefault="008B0EE9" w:rsidP="007105C9">
      <w:pPr>
        <w:rPr>
          <w:rFonts w:eastAsia="Batang"/>
          <w:color w:val="010000"/>
          <w:sz w:val="28"/>
          <w:szCs w:val="28"/>
          <w:lang w:val="uk-UA"/>
        </w:rPr>
      </w:pPr>
      <w:r w:rsidRPr="007105C9">
        <w:rPr>
          <w:rFonts w:eastAsia="Batang"/>
          <w:color w:val="010000"/>
          <w:sz w:val="28"/>
          <w:szCs w:val="28"/>
          <w:lang w:val="uk-UA"/>
        </w:rPr>
        <w:t>Берем симетричний міжколісний диференціал автомобіля по схемі, рис.</w:t>
      </w:r>
      <w:bookmarkStart w:id="4" w:name="_GoBack"/>
      <w:bookmarkEnd w:id="4"/>
      <w:r w:rsidRPr="007105C9">
        <w:rPr>
          <w:rFonts w:eastAsia="Batang"/>
          <w:color w:val="010000"/>
          <w:sz w:val="28"/>
          <w:szCs w:val="28"/>
          <w:lang w:val="uk-UA"/>
        </w:rPr>
        <w:t>:</w:t>
      </w:r>
    </w:p>
    <w:p w14:paraId="2980B239" w14:textId="77777777" w:rsidR="008B0EE9" w:rsidRPr="007105C9" w:rsidRDefault="008B0EE9" w:rsidP="007105C9">
      <w:pPr>
        <w:jc w:val="center"/>
        <w:rPr>
          <w:rFonts w:eastAsia="Batang"/>
          <w:color w:val="010000"/>
          <w:sz w:val="28"/>
          <w:szCs w:val="28"/>
          <w:lang w:val="uk-U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5C9">
        <w:rPr>
          <w:noProof/>
          <w:color w:val="010000"/>
          <w:sz w:val="28"/>
          <w:szCs w:val="28"/>
          <w:lang w:val="uk-UA"/>
        </w:rPr>
        <w:drawing>
          <wp:inline distT="0" distB="0" distL="0" distR="0" wp14:anchorId="4EA02EA4" wp14:editId="722A2D01">
            <wp:extent cx="5940425" cy="5617210"/>
            <wp:effectExtent l="0" t="0" r="3175" b="254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1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0C39" w14:textId="77777777" w:rsidR="008B0EE9" w:rsidRPr="007105C9" w:rsidRDefault="008B0EE9" w:rsidP="007105C9">
      <w:pPr>
        <w:rPr>
          <w:rFonts w:eastAsia="Batang"/>
          <w:color w:val="010000"/>
          <w:sz w:val="28"/>
          <w:szCs w:val="28"/>
          <w:lang w:val="uk-UA"/>
        </w:rPr>
      </w:pPr>
      <w:r w:rsidRPr="007105C9">
        <w:rPr>
          <w:rFonts w:eastAsia="Batang"/>
          <w:color w:val="010000"/>
          <w:sz w:val="28"/>
          <w:szCs w:val="28"/>
          <w:lang w:val="uk-UA"/>
        </w:rPr>
        <w:t xml:space="preserve">Розрахунковий крутний момент дорівнює моменту на веденому колесі </w:t>
      </w:r>
      <m:oMath>
        <m:r>
          <m:rPr>
            <m:sty m:val="p"/>
          </m:rPr>
          <w:rPr>
            <w:rFonts w:ascii="Cambria Math" w:eastAsia="Batang" w:hAnsi="Cambria Math"/>
            <w:color w:val="010000"/>
            <w:sz w:val="28"/>
            <w:szCs w:val="28"/>
            <w:lang w:val="uk-UA"/>
          </w:rPr>
          <m:t>головної передачі</m:t>
        </m:r>
        <m:r>
          <m:rPr>
            <m:sty m:val="p"/>
          </m:rPr>
          <w:rPr>
            <w:rFonts w:ascii="Cambria Math" w:eastAsia="Batang" w:hAnsi="Cambria Math"/>
            <w:color w:val="010000"/>
            <w:sz w:val="28"/>
            <w:szCs w:val="28"/>
            <w:lang w:val="uk-UA"/>
          </w:rPr>
          <w:sym w:font="Symbol" w:char="003A"/>
        </m:r>
      </m:oMath>
    </w:p>
    <w:p w14:paraId="05DBD20C" w14:textId="77777777" w:rsidR="008B0EE9" w:rsidRPr="007105C9" w:rsidRDefault="008B0EE9" w:rsidP="007105C9">
      <w:pPr>
        <w:rPr>
          <w:rFonts w:eastAsia="Batang"/>
          <w:color w:val="010000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Batang" w:hAnsi="Cambria Math"/>
                  <w:color w:val="010000"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="Batang" w:hAnsi="Cambria Math"/>
                  <w:color w:val="010000"/>
                  <w:sz w:val="28"/>
                  <w:szCs w:val="28"/>
                  <w:lang w:val="uk-UA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Batang" w:hAnsi="Cambria Math"/>
                  <w:color w:val="010000"/>
                  <w:sz w:val="28"/>
                  <w:szCs w:val="28"/>
                  <w:lang w:val="uk-UA"/>
                </w:rPr>
                <m:t>р</m:t>
              </m:r>
            </m:sub>
          </m:sSub>
          <m:r>
            <m:rPr>
              <m:sty m:val="p"/>
            </m:rPr>
            <w:rPr>
              <w:rFonts w:ascii="Cambria Math" w:eastAsia="Batang" w:hAnsi="Cambria Math"/>
              <w:color w:val="010000"/>
              <w:sz w:val="28"/>
              <w:szCs w:val="28"/>
              <w:lang w:val="uk-UA"/>
            </w:rPr>
            <m:t xml:space="preserve">=4017 </m:t>
          </m:r>
          <m:r>
            <w:rPr>
              <w:rFonts w:ascii="Cambria Math" w:eastAsia="Batang" w:hAnsi="Cambria Math"/>
              <w:color w:val="010000"/>
              <w:sz w:val="28"/>
              <w:szCs w:val="28"/>
              <w:lang w:val="uk-UA"/>
            </w:rPr>
            <m:t>H</m:t>
          </m:r>
          <m:r>
            <m:rPr>
              <m:sty m:val="p"/>
            </m:rPr>
            <w:rPr>
              <w:rFonts w:ascii="Cambria Math" w:eastAsia="Batang" w:hAnsi="Cambria Math"/>
              <w:color w:val="010000"/>
              <w:sz w:val="28"/>
              <w:szCs w:val="28"/>
              <w:lang w:val="uk-UA"/>
            </w:rPr>
            <m:t>∙м.</m:t>
          </m:r>
        </m:oMath>
      </m:oMathPara>
    </w:p>
    <w:p w14:paraId="5E7226C2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Матеріал і допустимі напруження для сателітів та півосьових шестерень ті ж, що й для зубчастих коліс головної передачі − Сталь 25ХГТ, термообробка − цементація;</w:t>
      </w:r>
    </w:p>
    <w:p w14:paraId="5C45C70D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− допустиме статичне напруження згину:</w:t>
      </w:r>
    </w:p>
    <w:p w14:paraId="7BF2311C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Fст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Fmax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=1794МПа.</m:t>
          </m:r>
        </m:oMath>
      </m:oMathPara>
    </w:p>
    <w:p w14:paraId="1552F4E3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Приймаємо: </w:t>
      </w:r>
    </w:p>
    <w:p w14:paraId="2A8969BB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σ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=0,1</m:t>
        </m:r>
      </m:oMath>
      <w:r w:rsidRPr="007105C9">
        <w:rPr>
          <w:sz w:val="28"/>
          <w:szCs w:val="28"/>
          <w:lang w:val="uk-UA"/>
        </w:rPr>
        <w:t xml:space="preserve">−коефіцієнт блокування; </w:t>
      </w:r>
    </w:p>
    <w:p w14:paraId="74A9E66C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=2</m:t>
        </m:r>
      </m:oMath>
      <w:r w:rsidRPr="007105C9">
        <w:rPr>
          <w:sz w:val="28"/>
          <w:szCs w:val="28"/>
          <w:lang w:val="uk-UA"/>
        </w:rPr>
        <w:t xml:space="preserve">−число сателітів; </w:t>
      </w:r>
    </w:p>
    <w:p w14:paraId="34F9C5FB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=11,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=18</m:t>
        </m:r>
      </m:oMath>
      <w:r w:rsidRPr="007105C9">
        <w:rPr>
          <w:rFonts w:eastAsiaTheme="minorEastAsia"/>
          <w:sz w:val="28"/>
          <w:szCs w:val="28"/>
          <w:lang w:val="uk-UA"/>
        </w:rPr>
        <w:t xml:space="preserve"> </w:t>
      </w:r>
      <w:r w:rsidRPr="007105C9">
        <w:rPr>
          <w:sz w:val="28"/>
          <w:szCs w:val="28"/>
          <w:lang w:val="uk-UA"/>
        </w:rPr>
        <w:t xml:space="preserve">− числа зубів по [6],стр.200; </w:t>
      </w:r>
    </w:p>
    <w:p w14:paraId="6D2CF4B0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−внутрішнє передаточне число:</w:t>
      </w:r>
    </w:p>
    <w:p w14:paraId="70B40137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 u=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=1,636. </m:t>
          </m:r>
        </m:oMath>
      </m:oMathPara>
    </w:p>
    <w:p w14:paraId="449F8FCB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lastRenderedPageBreak/>
        <w:t xml:space="preserve">Перевірка умови складання по [14],стр.151: </w:t>
      </w:r>
    </w:p>
    <w:p w14:paraId="385C3F7B" w14:textId="77777777" w:rsidR="007105C9" w:rsidRPr="007105C9" w:rsidRDefault="007105C9" w:rsidP="007105C9">
      <w:pPr>
        <w:rPr>
          <w:rFonts w:eastAsiaTheme="minorEastAsia"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=k,</m:t>
          </m:r>
        </m:oMath>
      </m:oMathPara>
    </w:p>
    <w:p w14:paraId="45FC1844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де k-ціле число</w:t>
      </w:r>
      <w:r w:rsidRPr="007105C9">
        <w:rPr>
          <w:rFonts w:ascii="Cambria Math" w:hAnsi="Cambria Math" w:cs="Cambria Math"/>
          <w:sz w:val="28"/>
          <w:szCs w:val="28"/>
          <w:lang w:val="uk-UA"/>
        </w:rPr>
        <w:t>⟹</w:t>
      </w:r>
      <m:oMath>
        <m:r>
          <w:rPr>
            <w:rFonts w:ascii="Cambria Math" w:hAnsi="Cambria Math"/>
            <w:sz w:val="28"/>
            <w:szCs w:val="28"/>
            <w:lang w:val="uk-UA"/>
          </w:rPr>
          <m:t>2∙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=18</m:t>
        </m:r>
      </m:oMath>
      <w:r w:rsidRPr="007105C9">
        <w:rPr>
          <w:sz w:val="28"/>
          <w:szCs w:val="28"/>
          <w:lang w:val="uk-UA"/>
        </w:rPr>
        <w:t>-умова виконується</w:t>
      </w:r>
    </w:p>
    <w:p w14:paraId="733BC696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Кути ділильних конусів: </w:t>
      </w:r>
    </w:p>
    <w:p w14:paraId="573E592F" w14:textId="77777777" w:rsidR="007105C9" w:rsidRPr="007105C9" w:rsidRDefault="007105C9" w:rsidP="007105C9">
      <w:pPr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=arctg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=arctg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11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=58,560; </m:t>
          </m:r>
        </m:oMath>
      </m:oMathPara>
    </w:p>
    <w:p w14:paraId="0DF0411C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90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p>
          </m:sSup>
          <m:r>
            <w:rPr>
              <w:rFonts w:ascii="Cambria Math" w:hAnsi="Cambria Math"/>
              <w:sz w:val="28"/>
              <w:szCs w:val="28"/>
              <w:lang w:val="uk-UA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90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p>
          </m:sSup>
          <m:r>
            <w:rPr>
              <w:rFonts w:ascii="Cambria Math" w:hAnsi="Cambria Math"/>
              <w:sz w:val="28"/>
              <w:szCs w:val="28"/>
              <w:lang w:val="uk-UA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58,56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p>
          </m:sSup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31,44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p>
          </m:sSup>
          <m:r>
            <w:rPr>
              <w:rFonts w:ascii="Cambria Math" w:hAnsi="Cambria Math"/>
              <w:sz w:val="28"/>
              <w:szCs w:val="28"/>
              <w:lang w:val="uk-UA"/>
            </w:rPr>
            <m:t xml:space="preserve">; </m:t>
          </m:r>
        </m:oMath>
      </m:oMathPara>
    </w:p>
    <w:p w14:paraId="54FE8B43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−еквівалентне число зубів сателітів: </w:t>
      </w:r>
    </w:p>
    <w:p w14:paraId="44317D1B" w14:textId="77777777" w:rsidR="007105C9" w:rsidRPr="007105C9" w:rsidRDefault="007105C9" w:rsidP="007105C9">
      <w:pPr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vmin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v1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∙cos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=11∙cos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31,44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p>
          </m:sSup>
          <m:r>
            <w:rPr>
              <w:rFonts w:ascii="Cambria Math" w:hAnsi="Cambria Math"/>
              <w:sz w:val="28"/>
              <w:szCs w:val="28"/>
              <w:lang w:val="uk-UA"/>
            </w:rPr>
            <m:t>=12,89&lt;17⟹</m:t>
          </m:r>
        </m:oMath>
      </m:oMathPara>
    </w:p>
    <w:p w14:paraId="399940A3" w14:textId="77777777" w:rsidR="007105C9" w:rsidRPr="007105C9" w:rsidRDefault="007105C9" w:rsidP="007105C9">
      <w:pPr>
        <w:rPr>
          <w:rFonts w:eastAsiaTheme="minorEastAsia"/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−умова непідрізання не виконана; </w:t>
      </w:r>
    </w:p>
    <w:p w14:paraId="47518029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−передачу робимо зі зміщенням;</w:t>
      </w:r>
    </w:p>
    <w:p w14:paraId="1CAE81A9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F1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=3,78</m:t>
        </m:r>
      </m:oMath>
      <w:r w:rsidRPr="007105C9">
        <w:rPr>
          <w:sz w:val="28"/>
          <w:szCs w:val="28"/>
          <w:lang w:val="uk-UA"/>
        </w:rPr>
        <w:t xml:space="preserve">−коефіцієнт форми зуба по [5],стр.147,рис.8.20 при коефіцієнті зміщення: </w:t>
      </w:r>
    </w:p>
    <w:p w14:paraId="6DB0DEEC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=2∙(1-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)∙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>=2∙(1-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1,636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)∙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11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 xml:space="preserve">=0,378. </m:t>
          </m:r>
        </m:oMath>
      </m:oMathPara>
    </w:p>
    <w:p w14:paraId="3564FC38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rFonts w:ascii="Cambria Math" w:hAnsi="Cambria Math" w:cs="Cambria Math"/>
          <w:sz w:val="28"/>
          <w:szCs w:val="28"/>
          <w:lang w:val="uk-UA"/>
        </w:rPr>
        <w:t>𝐾</w:t>
      </w:r>
      <w:r w:rsidRPr="007105C9">
        <w:rPr>
          <w:rFonts w:ascii="Cambria Math" w:hAnsi="Cambria Math" w:cs="Cambria Math"/>
          <w:sz w:val="28"/>
          <w:szCs w:val="28"/>
          <w:vertAlign w:val="subscript"/>
          <w:lang w:val="uk-UA"/>
        </w:rPr>
        <w:t>𝐹𝛼</w:t>
      </w:r>
      <w:r w:rsidRPr="007105C9">
        <w:rPr>
          <w:sz w:val="28"/>
          <w:szCs w:val="28"/>
          <w:lang w:val="uk-UA"/>
        </w:rPr>
        <w:t xml:space="preserve">=1−коефіцієнт розподілу навантаження по [3],стр.297; </w:t>
      </w:r>
    </w:p>
    <w:p w14:paraId="7E2CCD2D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rFonts w:ascii="Cambria Math" w:hAnsi="Cambria Math" w:cs="Cambria Math"/>
          <w:sz w:val="28"/>
          <w:szCs w:val="28"/>
          <w:lang w:val="uk-UA"/>
        </w:rPr>
        <w:t>𝜓</w:t>
      </w:r>
      <w:r w:rsidRPr="007105C9">
        <w:rPr>
          <w:rFonts w:ascii="Cambria Math" w:hAnsi="Cambria Math" w:cs="Cambria Math"/>
          <w:sz w:val="28"/>
          <w:szCs w:val="28"/>
          <w:vertAlign w:val="subscript"/>
          <w:lang w:val="uk-UA"/>
        </w:rPr>
        <w:t>𝑏𝑒</w:t>
      </w:r>
      <w:r w:rsidRPr="007105C9">
        <w:rPr>
          <w:sz w:val="28"/>
          <w:szCs w:val="28"/>
          <w:lang w:val="uk-UA"/>
        </w:rPr>
        <w:t xml:space="preserve">=0,33−коефіцієнт ширини вінця відносно зовнішньої конусної відстані по [6],стр.190; </w:t>
      </w:r>
    </w:p>
    <w:p w14:paraId="17C83993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be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0,33∙1,636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2-0,33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=0,323</m:t>
          </m:r>
        </m:oMath>
      </m:oMathPara>
    </w:p>
    <w:p w14:paraId="77558A8D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−по значенню цього виразу знаходимо:</w:t>
      </w:r>
    </w:p>
    <w:p w14:paraId="27B12E5F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 </w:t>
      </w:r>
      <w:r w:rsidRPr="007105C9">
        <w:rPr>
          <w:rFonts w:ascii="Cambria Math" w:hAnsi="Cambria Math" w:cs="Cambria Math"/>
          <w:sz w:val="28"/>
          <w:szCs w:val="28"/>
          <w:lang w:val="uk-UA"/>
        </w:rPr>
        <w:t>𝐾</w:t>
      </w:r>
      <w:r w:rsidRPr="007105C9">
        <w:rPr>
          <w:rFonts w:ascii="Cambria Math" w:hAnsi="Cambria Math" w:cs="Cambria Math"/>
          <w:sz w:val="28"/>
          <w:szCs w:val="28"/>
          <w:vertAlign w:val="subscript"/>
          <w:lang w:val="uk-UA"/>
        </w:rPr>
        <w:t>𝐹𝛽</w:t>
      </w:r>
      <w:r w:rsidRPr="007105C9">
        <w:rPr>
          <w:sz w:val="28"/>
          <w:szCs w:val="28"/>
          <w:lang w:val="uk-UA"/>
        </w:rPr>
        <w:t xml:space="preserve">=1,08−коефіцієнт враховує нерівномірність розподілу навантаження по ширині вінців при розрахунках на згин по [3],стр.321, рис.24.5. </w:t>
      </w:r>
    </w:p>
    <w:p w14:paraId="534CC2C2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rFonts w:ascii="Cambria Math" w:hAnsi="Cambria Math" w:cs="Cambria Math"/>
          <w:sz w:val="28"/>
          <w:szCs w:val="28"/>
          <w:lang w:val="uk-UA"/>
        </w:rPr>
        <w:t>𝐾</w:t>
      </w:r>
      <w:r w:rsidRPr="007105C9">
        <w:rPr>
          <w:rFonts w:ascii="Cambria Math" w:hAnsi="Cambria Math" w:cs="Cambria Math"/>
          <w:sz w:val="28"/>
          <w:szCs w:val="28"/>
          <w:vertAlign w:val="subscript"/>
          <w:lang w:val="uk-UA"/>
        </w:rPr>
        <w:t>𝐹𝑣</w:t>
      </w:r>
      <w:r w:rsidRPr="007105C9">
        <w:rPr>
          <w:sz w:val="28"/>
          <w:szCs w:val="28"/>
          <w:lang w:val="uk-UA"/>
        </w:rPr>
        <w:t xml:space="preserve">=1,0−динамічний коефіцієнт по [6], стр.199 для розрахунку на статичну міцність; </w:t>
      </w:r>
    </w:p>
    <w:p w14:paraId="42D87AEC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Fα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Fβ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Fv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=1∙1,08∙1=1,08</m:t>
          </m:r>
        </m:oMath>
      </m:oMathPara>
    </w:p>
    <w:p w14:paraId="05F07F89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−коефіцієнт режиму навантаження; </w:t>
      </w:r>
    </w:p>
    <w:p w14:paraId="76596F67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rFonts w:ascii="Cambria Math" w:hAnsi="Cambria Math" w:cs="Cambria Math"/>
          <w:sz w:val="28"/>
          <w:szCs w:val="28"/>
          <w:lang w:val="uk-UA"/>
        </w:rPr>
        <w:t>𝐾</w:t>
      </w:r>
      <w:r w:rsidRPr="007105C9">
        <w:rPr>
          <w:sz w:val="28"/>
          <w:szCs w:val="28"/>
          <w:vertAlign w:val="subscript"/>
          <w:lang w:val="uk-UA"/>
        </w:rPr>
        <w:t>д</w:t>
      </w:r>
      <w:r w:rsidRPr="007105C9">
        <w:rPr>
          <w:sz w:val="28"/>
          <w:szCs w:val="28"/>
          <w:lang w:val="uk-UA"/>
        </w:rPr>
        <w:t xml:space="preserve">=1,9−коефіцієнт динамічності; −коефіцієнт ширини вінця відносно середнього ділильного діаметра: </w:t>
      </w:r>
    </w:p>
    <w:p w14:paraId="6013AAF1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bd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be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+1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0,33∙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1,636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+1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2-0,33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=0,379,[6],стр.191.</m:t>
          </m:r>
        </m:oMath>
      </m:oMathPara>
    </w:p>
    <w:p w14:paraId="6D91C85F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Середній коловий модуль зубчастих коліс диференціала з урахуванням того ,що кожен сателіт передає навантаження через 2 зуба по [6],стр.199:</w:t>
      </w:r>
    </w:p>
    <w:p w14:paraId="0CC0E923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tm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σ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д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0,85∙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σ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Fст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bd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bSup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 xml:space="preserve">= 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7192∙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1+0.1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∙3.78∙1.08∙1.4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0.85∙1794∙2∙0.379∙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11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 xml:space="preserve">=6,86мм; </m:t>
          </m:r>
        </m:oMath>
      </m:oMathPara>
    </w:p>
    <w:p w14:paraId="5FBCAAAC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−зовнішній модуль: </w:t>
      </w:r>
    </w:p>
    <w:p w14:paraId="63EC62D9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  <w:lang w:val="uk-UA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tm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'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1-0,5∙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6.86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1+0.5∙0.33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=5.89мм⟹</m:t>
          </m:r>
        </m:oMath>
      </m:oMathPara>
    </w:p>
    <w:p w14:paraId="7E98FAEA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враховуючи, що при конструюванні диференціала розміри та маса мають вирішальне значення, а також те, що округлення модуля конічних передач до стандартного значення можна не проводити, берем:</w:t>
      </w:r>
    </w:p>
    <w:p w14:paraId="4DDEEC47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=5,89 мм;</m:t>
          </m:r>
        </m:oMath>
      </m:oMathPara>
    </w:p>
    <w:p w14:paraId="7C1B30A3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 −фактичне значення середнього модуля: </w:t>
      </w:r>
    </w:p>
    <w:p w14:paraId="3A25DD0B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tm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∙(1-0,5∙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)=5.89∙(1-0,5∙0,33)=4.92мм.</m:t>
          </m:r>
        </m:oMath>
      </m:oMathPara>
    </w:p>
    <w:p w14:paraId="599DC457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Основні геометричні параметри зубчастих коліс. Зовнішні ділильні діаметри: </w:t>
      </w:r>
    </w:p>
    <w:p w14:paraId="1482132D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=5,89∙11=64.79мм;</m:t>
          </m:r>
        </m:oMath>
      </m:oMathPara>
    </w:p>
    <w:p w14:paraId="5D266975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=5,89∙18=106.02мм;</m:t>
          </m:r>
        </m:oMath>
      </m:oMathPara>
    </w:p>
    <w:p w14:paraId="25A88B9E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−зовнішня конусна відстань: </w:t>
      </w:r>
    </w:p>
    <w:p w14:paraId="4E00E545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e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=0,5∙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e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sz w:val="28"/>
            <w:szCs w:val="28"/>
            <w:lang w:val="uk-UA"/>
          </w:rPr>
          <m:t>=0,5∙5,89∙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11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lang w:val="uk-UA"/>
          </w:rPr>
          <m:t>=62.12мм;</m:t>
        </m:r>
      </m:oMath>
      <w:r w:rsidRPr="007105C9">
        <w:rPr>
          <w:sz w:val="28"/>
          <w:szCs w:val="28"/>
          <w:lang w:val="uk-UA"/>
        </w:rPr>
        <w:t xml:space="preserve"> </w:t>
      </w:r>
    </w:p>
    <w:p w14:paraId="13685CBD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−ширина вінців:</w:t>
      </w:r>
    </w:p>
    <w:p w14:paraId="25BA7BE1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 b=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=0,33∙62.12=20,5мм⟹приймаємо b=21мм; </m:t>
          </m:r>
        </m:oMath>
      </m:oMathPara>
    </w:p>
    <w:p w14:paraId="7E2F2992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−середні ділильні діаметри: </w:t>
      </w:r>
    </w:p>
    <w:p w14:paraId="725AC723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tm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=4.92∙11=54,12мм; </m:t>
          </m:r>
        </m:oMath>
      </m:oMathPara>
    </w:p>
    <w:p w14:paraId="1F9688B8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tm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=4,92∙18=88,56мм; </m:t>
          </m:r>
        </m:oMath>
      </m:oMathPara>
    </w:p>
    <w:p w14:paraId="6D07D02F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−зовнішня висота зуба: </w:t>
      </w:r>
    </w:p>
    <w:p w14:paraId="5FCA9701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=2,2∙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=2,2∙5,89=12,958мм; </m:t>
          </m:r>
        </m:oMath>
      </m:oMathPara>
    </w:p>
    <w:p w14:paraId="7A0FEBFC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>−зовнішня висота головки зуба:</w:t>
      </w:r>
    </w:p>
    <w:p w14:paraId="4FDD0E98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=5,89мм; </m:t>
          </m:r>
        </m:oMath>
      </m:oMathPara>
    </w:p>
    <w:p w14:paraId="6E85B45C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−зовнішня висота ніжки зуба: </w:t>
      </w:r>
    </w:p>
    <w:p w14:paraId="1A6510C8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=1,2∙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=1,2∙5,89=7,068мм; </m:t>
          </m:r>
        </m:oMath>
      </m:oMathPara>
    </w:p>
    <w:p w14:paraId="324176BD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−зовнішні діаметри вершин зубців: </w:t>
      </w:r>
    </w:p>
    <w:p w14:paraId="1474FF56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ae1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+2∙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∙cos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=64.79+2∙5,89∙cos31,440=74,84 мм; </m:t>
          </m:r>
        </m:oMath>
      </m:oMathPara>
    </w:p>
    <w:p w14:paraId="67745570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ae2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+2∙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∙cos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=106.02+2∙5,89∙cos58,560=112.16 мм; </m:t>
          </m:r>
        </m:oMath>
      </m:oMathPara>
    </w:p>
    <w:p w14:paraId="74FEA9AA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−зовнішні діаметри впадин зубців: </w:t>
      </w:r>
    </w:p>
    <w:p w14:paraId="68BFC1E3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fe1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-2,4∙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∙cos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=64.79-2,4∙5,89∙cos31,440=52.73мм; </m:t>
          </m:r>
        </m:oMath>
      </m:oMathPara>
    </w:p>
    <w:p w14:paraId="1F7E074B" w14:textId="77777777" w:rsidR="007105C9" w:rsidRPr="007105C9" w:rsidRDefault="007105C9" w:rsidP="007105C9">
      <w:pPr>
        <w:rPr>
          <w:rFonts w:ascii="Cambria Math" w:hAnsi="Cambria Math"/>
          <w:sz w:val="28"/>
          <w:szCs w:val="28"/>
          <w:lang w:val="uk-UA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fe2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-2,4∙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e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∙cos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=106.02-2,4∙5,89∙cos58,560=98,65мм.</m:t>
          </m:r>
        </m:oMath>
      </m:oMathPara>
    </w:p>
    <w:p w14:paraId="40EA9C51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Діаметр шипа хрестовини по [1],стр.254: </w:t>
      </w:r>
    </w:p>
    <w:p w14:paraId="037BA1A0" w14:textId="77777777" w:rsidR="007105C9" w:rsidRPr="007105C9" w:rsidRDefault="007105C9" w:rsidP="007105C9">
      <w:pPr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ш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Hβ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ср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q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7192∙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∙1.15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2∙44.28∙80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 xml:space="preserve">=34.16мм⟹ </m:t>
          </m:r>
        </m:oMath>
      </m:oMathPara>
    </w:p>
    <w:p w14:paraId="38F43491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відповідно ряду Ra40 берем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ш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=35 мм; </m:t>
          </m:r>
        </m:oMath>
      </m:oMathPara>
    </w:p>
    <w:p w14:paraId="0B91766C" w14:textId="77777777" w:rsidR="007105C9" w:rsidRPr="007105C9" w:rsidRDefault="007105C9" w:rsidP="007105C9">
      <w:pPr>
        <w:rPr>
          <w:sz w:val="28"/>
          <w:szCs w:val="28"/>
          <w:lang w:val="uk-UA"/>
        </w:rPr>
      </w:pPr>
      <w:r w:rsidRPr="007105C9">
        <w:rPr>
          <w:sz w:val="28"/>
          <w:szCs w:val="28"/>
          <w:lang w:val="uk-UA"/>
        </w:rPr>
        <w:t xml:space="preserve">де: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ср</m:t>
            </m:r>
          </m:sub>
        </m:sSub>
      </m:oMath>
      <w:r w:rsidRPr="007105C9">
        <w:rPr>
          <w:sz w:val="28"/>
          <w:szCs w:val="28"/>
          <w:lang w:val="uk-UA"/>
        </w:rPr>
        <w:t xml:space="preserve">− відстань від центра хрестовини до середини сателіта; </w:t>
      </w:r>
    </w:p>
    <w:p w14:paraId="6678B53E" w14:textId="77777777" w:rsidR="007105C9" w:rsidRPr="007105C9" w:rsidRDefault="007105C9" w:rsidP="007105C9">
      <w:pPr>
        <w:jc w:val="center"/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m2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88.56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=44,28мм</m:t>
          </m:r>
        </m:oMath>
      </m:oMathPara>
    </w:p>
    <w:p w14:paraId="3FCE0B94" w14:textId="77777777" w:rsidR="007105C9" w:rsidRPr="007105C9" w:rsidRDefault="007105C9" w:rsidP="007105C9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=80МПа</m:t>
        </m:r>
      </m:oMath>
      <w:r w:rsidRPr="007105C9">
        <w:rPr>
          <w:sz w:val="28"/>
          <w:szCs w:val="28"/>
          <w:lang w:val="uk-UA"/>
        </w:rPr>
        <w:t>−допустима напруга зминання для легкових автомобілів;</w:t>
      </w:r>
    </w:p>
    <w:p w14:paraId="6C2E8801" w14:textId="5E9EF080" w:rsidR="000B6E70" w:rsidRPr="007105C9" w:rsidRDefault="007105C9" w:rsidP="007105C9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Hβ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=1,15</m:t>
        </m:r>
      </m:oMath>
      <w:r w:rsidRPr="007105C9">
        <w:rPr>
          <w:sz w:val="28"/>
          <w:szCs w:val="28"/>
          <w:lang w:val="uk-UA"/>
        </w:rPr>
        <w:t>−коефіцієнт нерівномірності розподілу навантаження між сателітами.</w:t>
      </w:r>
    </w:p>
    <w:p w14:paraId="1FE9C58D" w14:textId="664C62B3" w:rsidR="00BE051E" w:rsidRPr="007105C9" w:rsidRDefault="00BE051E" w:rsidP="007105C9">
      <w:pPr>
        <w:rPr>
          <w:sz w:val="28"/>
          <w:szCs w:val="28"/>
          <w:lang w:val="uk-UA"/>
        </w:rPr>
      </w:pPr>
    </w:p>
    <w:sectPr w:rsidR="00BE051E" w:rsidRPr="0071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9215" w:firstLine="0"/>
        </w:pPr>
        <w:rPr>
          <w:rFonts w:ascii="Cambria" w:eastAsia="Batang" w:hAnsi="Cambria" w:cs="Times New Roman" w:hint="default"/>
          <w:i w:val="0"/>
          <w:noProof w:val="0"/>
          <w:color w:val="FF0000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70AD47" w:themeColor="accent6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00B050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00B0F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47"/>
    <w:rsid w:val="000B6E70"/>
    <w:rsid w:val="00232547"/>
    <w:rsid w:val="00237CA3"/>
    <w:rsid w:val="00445301"/>
    <w:rsid w:val="007105C9"/>
    <w:rsid w:val="008B0EE9"/>
    <w:rsid w:val="00A72F4C"/>
    <w:rsid w:val="00A75DF2"/>
    <w:rsid w:val="00BC23A8"/>
    <w:rsid w:val="00BE051E"/>
    <w:rsid w:val="00CE17A4"/>
    <w:rsid w:val="00D6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CA7C"/>
  <w15:chartTrackingRefBased/>
  <w15:docId w15:val="{1445199E-11A3-4EDC-83B9-F2A3035D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А"/>
    <w:basedOn w:val="a"/>
    <w:next w:val="a"/>
    <w:link w:val="20"/>
    <w:autoRedefine/>
    <w:uiPriority w:val="9"/>
    <w:qFormat/>
    <w:rsid w:val="008B0EE9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Cambria" w:eastAsia="Batang" w:hAnsi="Cambria" w:cs="Arial"/>
      <w:bCs/>
      <w:iCs/>
      <w:color w:val="ED7D31" w:themeColor="accent2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EE9"/>
    <w:rPr>
      <w:rFonts w:ascii="Cambria" w:eastAsia="Batang" w:hAnsi="Cambria" w:cs="Arial"/>
      <w:bCs/>
      <w:iCs/>
      <w:color w:val="ED7D31" w:themeColor="accen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11</cp:revision>
  <dcterms:created xsi:type="dcterms:W3CDTF">2024-05-12T06:47:00Z</dcterms:created>
  <dcterms:modified xsi:type="dcterms:W3CDTF">2024-05-12T06:58:00Z</dcterms:modified>
</cp:coreProperties>
</file>