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0F" w:rsidRPr="00A40E0F" w:rsidRDefault="00A40E0F" w:rsidP="00A40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E0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Діагностика виробничого потенціалу підприємства</w:t>
      </w:r>
    </w:p>
    <w:p w:rsidR="00A40E0F" w:rsidRPr="00A40E0F" w:rsidRDefault="00A40E0F" w:rsidP="00A40E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2</w:t>
      </w:r>
    </w:p>
    <w:p w:rsidR="00DC1F5A" w:rsidRDefault="00DC4621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1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DD4D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C1F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1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F5A" w:rsidRPr="00DC1F5A">
        <w:rPr>
          <w:rFonts w:ascii="Times New Roman" w:hAnsi="Times New Roman" w:cs="Times New Roman"/>
          <w:sz w:val="28"/>
          <w:szCs w:val="28"/>
          <w:lang w:val="uk-UA"/>
        </w:rPr>
        <w:t>Проаналізувати основні показники, що характеризують фінансово-еко</w:t>
      </w:r>
      <w:r w:rsidR="00DD4D06">
        <w:rPr>
          <w:rFonts w:ascii="Times New Roman" w:hAnsi="Times New Roman" w:cs="Times New Roman"/>
          <w:sz w:val="28"/>
          <w:szCs w:val="28"/>
          <w:lang w:val="uk-UA"/>
        </w:rPr>
        <w:t>номічну діяльність підприємства</w:t>
      </w:r>
      <w:r w:rsidR="00C527CE" w:rsidRPr="00C527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621" w:rsidRDefault="00DC1F5A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F5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DD4D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5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F5A">
        <w:rPr>
          <w:rFonts w:ascii="Times New Roman" w:hAnsi="Times New Roman" w:cs="Times New Roman"/>
          <w:sz w:val="28"/>
          <w:szCs w:val="28"/>
          <w:lang w:val="uk-UA"/>
        </w:rPr>
        <w:t>Основні техніко-економічні показники підприємства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"/>
        <w:gridCol w:w="2704"/>
        <w:gridCol w:w="1265"/>
        <w:gridCol w:w="1126"/>
        <w:gridCol w:w="1087"/>
        <w:gridCol w:w="1617"/>
        <w:gridCol w:w="1191"/>
      </w:tblGrid>
      <w:tr w:rsidR="00DD4D06" w:rsidRPr="00DD4D06" w:rsidTr="00DD4D06">
        <w:tc>
          <w:tcPr>
            <w:tcW w:w="303" w:type="pct"/>
            <w:vMerge w:val="restart"/>
          </w:tcPr>
          <w:p w:rsidR="00DD4D06" w:rsidRPr="00DC1F5A" w:rsidRDefault="00DD4D06" w:rsidP="00DC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12" w:type="pct"/>
            <w:vMerge w:val="restart"/>
          </w:tcPr>
          <w:p w:rsidR="00DD4D06" w:rsidRPr="00DC1F5A" w:rsidRDefault="00DD4D06" w:rsidP="00DC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61" w:type="pct"/>
            <w:vMerge w:val="restart"/>
          </w:tcPr>
          <w:p w:rsidR="00DD4D06" w:rsidRPr="00DC1F5A" w:rsidRDefault="00DD4D06" w:rsidP="00DC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56" w:type="pct"/>
            <w:gridSpan w:val="2"/>
          </w:tcPr>
          <w:p w:rsidR="00DD4D06" w:rsidRPr="00DC1F5A" w:rsidRDefault="00DD4D06" w:rsidP="00DC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467" w:type="pct"/>
            <w:gridSpan w:val="2"/>
          </w:tcPr>
          <w:p w:rsidR="00DD4D06" w:rsidRPr="00DC1F5A" w:rsidRDefault="00DD4D06" w:rsidP="00DC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Темпи зростання</w:t>
            </w:r>
          </w:p>
        </w:tc>
      </w:tr>
      <w:tr w:rsidR="00DD4D06" w:rsidRPr="00DD4D06" w:rsidTr="00DD4D06">
        <w:tc>
          <w:tcPr>
            <w:tcW w:w="303" w:type="pct"/>
            <w:vMerge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pct"/>
            <w:vMerge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1" w:type="pct"/>
            <w:vMerge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</w:tcPr>
          <w:p w:rsidR="00DD4D06" w:rsidRPr="00DD4D06" w:rsidRDefault="00DD4D06" w:rsidP="00DC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568" w:type="pct"/>
          </w:tcPr>
          <w:p w:rsidR="00DD4D06" w:rsidRPr="00DD4D06" w:rsidRDefault="00DD4D06" w:rsidP="00DC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45" w:type="pct"/>
          </w:tcPr>
          <w:p w:rsidR="00DD4D06" w:rsidRDefault="00DD4D06" w:rsidP="00DC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Абсолютне,</w:t>
            </w:r>
          </w:p>
          <w:p w:rsidR="00DD4D06" w:rsidRPr="00DD4D06" w:rsidRDefault="00DD4D06" w:rsidP="00DC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+/-</w:t>
            </w:r>
          </w:p>
        </w:tc>
        <w:tc>
          <w:tcPr>
            <w:tcW w:w="622" w:type="pct"/>
          </w:tcPr>
          <w:p w:rsidR="00DD4D06" w:rsidRDefault="00DD4D06" w:rsidP="00DC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Відносне,</w:t>
            </w:r>
          </w:p>
          <w:p w:rsidR="00DD4D06" w:rsidRPr="00DD4D06" w:rsidRDefault="00DD4D06" w:rsidP="00DC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Дохід (виручка) від реалізації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(без ПДВ та акцизу)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Середньооблікова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1A0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61" w:type="pct"/>
            <w:vAlign w:val="center"/>
          </w:tcPr>
          <w:p w:rsidR="00DD4D06" w:rsidRPr="006635A8" w:rsidRDefault="00DD4D06" w:rsidP="006635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5A8">
              <w:rPr>
                <w:rFonts w:ascii="Times New Roman" w:hAnsi="Times New Roman" w:cs="Times New Roman"/>
              </w:rPr>
              <w:t>грн./особу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Середньорічна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заробітна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плата одного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661" w:type="pct"/>
            <w:vAlign w:val="center"/>
          </w:tcPr>
          <w:p w:rsidR="00DD4D06" w:rsidRPr="006635A8" w:rsidRDefault="00DD4D06" w:rsidP="006635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35A8">
              <w:rPr>
                <w:rFonts w:ascii="Times New Roman" w:hAnsi="Times New Roman" w:cs="Times New Roman"/>
              </w:rPr>
              <w:t>грн./особу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обів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реал.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Витратомісткість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на 1 грн.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реалізованої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збиток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Рентабельність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вартість основних засобів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2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Фондовіддача</w:t>
            </w:r>
            <w:proofErr w:type="spellEnd"/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2" w:type="pct"/>
          </w:tcPr>
          <w:p w:rsidR="00DD4D06" w:rsidRPr="00DC1F5A" w:rsidRDefault="00DD4D06" w:rsidP="00DC1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Середньорічний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залишок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оборотних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активів</w:t>
            </w:r>
          </w:p>
        </w:tc>
        <w:tc>
          <w:tcPr>
            <w:tcW w:w="661" w:type="pct"/>
            <w:vAlign w:val="center"/>
          </w:tcPr>
          <w:p w:rsidR="00DD4D06" w:rsidRPr="00DC1F5A" w:rsidRDefault="00DD4D06" w:rsidP="0066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4D06" w:rsidRPr="00DC1F5A" w:rsidTr="00DD4D06">
        <w:tc>
          <w:tcPr>
            <w:tcW w:w="303" w:type="pct"/>
          </w:tcPr>
          <w:p w:rsidR="00DD4D06" w:rsidRPr="00DC1F5A" w:rsidRDefault="00DD4D06" w:rsidP="00A40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2" w:type="pct"/>
          </w:tcPr>
          <w:p w:rsidR="00DD4D06" w:rsidRPr="00DC1F5A" w:rsidRDefault="00DD4D06" w:rsidP="00DC1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Коефіцієнт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оборотності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>оборотних</w:t>
            </w:r>
            <w:proofErr w:type="spellEnd"/>
            <w:r w:rsidRPr="00D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активів</w:t>
            </w:r>
          </w:p>
        </w:tc>
        <w:tc>
          <w:tcPr>
            <w:tcW w:w="661" w:type="pct"/>
          </w:tcPr>
          <w:p w:rsidR="00DD4D06" w:rsidRPr="00DC1F5A" w:rsidRDefault="00DD4D06" w:rsidP="00D1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</w:tcPr>
          <w:p w:rsidR="00DD4D06" w:rsidRPr="00DC1F5A" w:rsidRDefault="00DD4D06" w:rsidP="001A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27CE" w:rsidRDefault="00C527CE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Здійсніть</w:t>
      </w:r>
      <w:r w:rsidR="00D11A03"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узагальнену оцінку ефективності та інтенсифікації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на підприємстві.</w:t>
      </w:r>
    </w:p>
    <w:p w:rsidR="00D11A03" w:rsidRPr="00173F8D" w:rsidRDefault="00D11A03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Для комплексної (інтегральної) оцінки ефективності виробничої діяльності підприємства може бути використана наступна формула: </w:t>
      </w:r>
    </w:p>
    <w:p w:rsidR="00D11A03" w:rsidRPr="00173F8D" w:rsidRDefault="00DD4D06" w:rsidP="00AC53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вир</m:t>
            </m:r>
          </m:sub>
        </m:sSub>
      </m:oMath>
      <w:r w:rsidR="00D11A03" w:rsidRPr="00173F8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Р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опл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об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о.з.</m:t>
                </m:r>
              </m:sub>
            </m:sSub>
          </m:den>
        </m:f>
      </m:oMath>
    </w:p>
    <w:p w:rsidR="00D11A03" w:rsidRPr="00173F8D" w:rsidRDefault="00D11A03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173F8D">
        <w:rPr>
          <w:rFonts w:ascii="Times New Roman" w:hAnsi="Times New Roman" w:cs="Times New Roman"/>
          <w:sz w:val="28"/>
          <w:szCs w:val="28"/>
        </w:rPr>
        <w:t>S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вир - комплексний показник оцінки ефективності виробничої діяльності підприємства; Р –виручка від реалізації; </w:t>
      </w: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Сопл</w:t>
      </w:r>
      <w:proofErr w:type="spellEnd"/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- витрати на оплату праці; </w:t>
      </w: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Соб</w:t>
      </w:r>
      <w:proofErr w:type="spellEnd"/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- середньорічні залишки обігових засобів; </w:t>
      </w: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Со.з</w:t>
      </w:r>
      <w:proofErr w:type="spellEnd"/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- середньорічна вартість основних виробничих фондів. </w:t>
      </w:r>
    </w:p>
    <w:p w:rsidR="00D11A03" w:rsidRPr="00173F8D" w:rsidRDefault="00D11A03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 </w:t>
      </w:r>
      <w:r w:rsidRPr="00173F8D">
        <w:rPr>
          <w:rFonts w:ascii="Times New Roman" w:hAnsi="Times New Roman" w:cs="Times New Roman"/>
          <w:sz w:val="28"/>
          <w:szCs w:val="28"/>
        </w:rPr>
        <w:t>S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вир дає оцінку ефективності використання потенціалу при здійсненні основної діяльності підприємств. </w:t>
      </w:r>
      <w:r w:rsidRPr="00173F8D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>.</w:t>
      </w:r>
    </w:p>
    <w:p w:rsidR="003D0220" w:rsidRPr="00173F8D" w:rsidRDefault="003D0220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інтенсифікації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Інтенсифікація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оборотність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обігових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інтенсифікації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фондовіддачі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формулою:</w:t>
      </w:r>
    </w:p>
    <w:p w:rsidR="003D0220" w:rsidRPr="00173F8D" w:rsidRDefault="00DD4D06" w:rsidP="00A40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інт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і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ФВ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і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ФВ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о.з.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∆Р×2</m:t>
              </m:r>
            </m:den>
          </m:f>
        </m:oMath>
      </m:oMathPara>
    </w:p>
    <w:p w:rsidR="00D00B67" w:rsidRPr="00173F8D" w:rsidRDefault="00D00B67" w:rsidP="00D00B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Дінт</w:t>
      </w:r>
      <w:proofErr w:type="spellEnd"/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- частка приросту </w:t>
      </w:r>
      <w:r w:rsidR="00827DDA">
        <w:rPr>
          <w:rFonts w:ascii="Times New Roman" w:hAnsi="Times New Roman" w:cs="Times New Roman"/>
          <w:sz w:val="28"/>
          <w:szCs w:val="28"/>
          <w:lang w:val="uk-UA"/>
        </w:rPr>
        <w:t>виручки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інтенсивних чинників; П1 П2, - звітне і базове значення продуктивності праці працівників; </w:t>
      </w:r>
    </w:p>
    <w:p w:rsidR="00D00B67" w:rsidRPr="00173F8D" w:rsidRDefault="00D00B67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Ч1 - фактична </w:t>
      </w: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середньоспискова</w:t>
      </w:r>
      <w:proofErr w:type="spellEnd"/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працівників в звітному періоді; </w:t>
      </w:r>
    </w:p>
    <w:p w:rsidR="00D00B67" w:rsidRPr="00173F8D" w:rsidRDefault="00D00B67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ФВ1, ФВ0 - звітне і базове значення показників фондовіддачі, </w:t>
      </w:r>
    </w:p>
    <w:p w:rsidR="00D00B67" w:rsidRPr="00173F8D" w:rsidRDefault="00D00B67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73F8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о.з</w:t>
      </w:r>
      <w:proofErr w:type="spellEnd"/>
      <w:proofErr w:type="gramEnd"/>
      <w:r w:rsidRPr="00173F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середньорічна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73F8D">
        <w:rPr>
          <w:rFonts w:ascii="Times New Roman" w:hAnsi="Times New Roman" w:cs="Times New Roman"/>
          <w:sz w:val="28"/>
          <w:szCs w:val="28"/>
        </w:rPr>
        <w:t xml:space="preserve">, тис. 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B67" w:rsidRPr="00173F8D" w:rsidRDefault="00D00B67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sz w:val="28"/>
          <w:szCs w:val="28"/>
        </w:rPr>
        <w:t>P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>- приріст виручки від реалізації в звітному році в порівнянні з базовим.</w:t>
      </w:r>
    </w:p>
    <w:p w:rsidR="00173F8D" w:rsidRPr="00173F8D" w:rsidRDefault="00173F8D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F8D" w:rsidRPr="00173F8D" w:rsidRDefault="00173F8D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DD4D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73F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Визначте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>(вартість основних засобів, річні матері</w:t>
      </w:r>
      <w:r w:rsidR="00EA17A6">
        <w:rPr>
          <w:rFonts w:ascii="Times New Roman" w:hAnsi="Times New Roman" w:cs="Times New Roman"/>
          <w:sz w:val="28"/>
          <w:szCs w:val="28"/>
          <w:lang w:val="uk-UA"/>
        </w:rPr>
        <w:t>альні витрати виробництва, фонд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оплати праці) </w:t>
      </w:r>
      <w:r w:rsidRPr="00173F8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величину.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F8D" w:rsidRPr="00173F8D" w:rsidRDefault="00173F8D" w:rsidP="00A4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F8D" w:rsidRPr="00173F8D" w:rsidRDefault="00173F8D" w:rsidP="00173F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3CAE68D" wp14:editId="79FB8A68">
            <wp:extent cx="1685925" cy="361950"/>
            <wp:effectExtent l="0" t="0" r="9525" b="0"/>
            <wp:docPr id="1" name="Рисунок 1" descr="https://pidru4niki.com/imag/econom/kriv_ediagn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ru4niki.com/imag/econom/kriv_ediagn/image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8D" w:rsidRPr="00173F8D" w:rsidRDefault="00173F8D" w:rsidP="0017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8D">
        <w:rPr>
          <w:rFonts w:ascii="Times New Roman" w:hAnsi="Times New Roman" w:cs="Times New Roman"/>
          <w:sz w:val="28"/>
          <w:szCs w:val="28"/>
        </w:rPr>
        <w:t xml:space="preserve">де П - величина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>; В</w:t>
      </w:r>
      <w:proofErr w:type="spellStart"/>
      <w:r w:rsidRPr="00173F8D">
        <w:rPr>
          <w:rFonts w:ascii="Times New Roman" w:hAnsi="Times New Roman" w:cs="Times New Roman"/>
          <w:sz w:val="28"/>
          <w:szCs w:val="28"/>
          <w:lang w:val="uk-UA"/>
        </w:rPr>
        <w:t>о.з</w:t>
      </w:r>
      <w:proofErr w:type="spellEnd"/>
      <w:r w:rsidRPr="00173F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3F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173F8D">
        <w:rPr>
          <w:rFonts w:ascii="Times New Roman" w:hAnsi="Times New Roman" w:cs="Times New Roman"/>
          <w:sz w:val="28"/>
          <w:szCs w:val="28"/>
        </w:rPr>
        <w:t>;</w:t>
      </w:r>
      <w:r w:rsidRPr="00173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річні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 xml:space="preserve">; ФОП - фонд оплати </w:t>
      </w:r>
      <w:proofErr w:type="spellStart"/>
      <w:r w:rsidRPr="00173F8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3F8D">
        <w:rPr>
          <w:rFonts w:ascii="Times New Roman" w:hAnsi="Times New Roman" w:cs="Times New Roman"/>
          <w:sz w:val="28"/>
          <w:szCs w:val="28"/>
        </w:rPr>
        <w:t>.</w:t>
      </w:r>
    </w:p>
    <w:p w:rsidR="00173F8D" w:rsidRDefault="00173F8D" w:rsidP="00173F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DF9" w:rsidRPr="00C527CE" w:rsidRDefault="00F72DF9" w:rsidP="00F7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DD4D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73F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7CE" w:rsidRPr="00C527CE">
        <w:rPr>
          <w:rFonts w:ascii="Times New Roman" w:hAnsi="Times New Roman" w:cs="Times New Roman"/>
          <w:sz w:val="28"/>
          <w:szCs w:val="28"/>
          <w:lang w:val="uk-UA"/>
        </w:rPr>
        <w:t>Доповніть діагностику вироб</w:t>
      </w:r>
      <w:r w:rsidR="00DD4D06">
        <w:rPr>
          <w:rFonts w:ascii="Times New Roman" w:hAnsi="Times New Roman" w:cs="Times New Roman"/>
          <w:sz w:val="28"/>
          <w:szCs w:val="28"/>
          <w:lang w:val="uk-UA"/>
        </w:rPr>
        <w:t xml:space="preserve">ничого потенціалу підприємства </w:t>
      </w:r>
      <w:r w:rsidR="00C527CE" w:rsidRPr="00C527CE">
        <w:rPr>
          <w:rFonts w:ascii="Times New Roman" w:hAnsi="Times New Roman" w:cs="Times New Roman"/>
          <w:sz w:val="28"/>
          <w:szCs w:val="28"/>
          <w:lang w:val="uk-UA"/>
        </w:rPr>
        <w:t>розрахунком співвідношень.</w:t>
      </w:r>
    </w:p>
    <w:p w:rsidR="00C527CE" w:rsidRDefault="00C527CE" w:rsidP="00F72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7CE" w:rsidRDefault="00C527CE" w:rsidP="00C527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F8634EC" wp14:editId="3DEF185A">
            <wp:extent cx="1219200" cy="466725"/>
            <wp:effectExtent l="0" t="0" r="0" b="9525"/>
            <wp:docPr id="2" name="Рисунок 2" descr="https://pidru4niki.com/imag/econom/kriv_ediagn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4niki.com/imag/econom/kriv_ediagn/image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CE" w:rsidRPr="00C527CE" w:rsidRDefault="00C527CE" w:rsidP="00C5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527CE">
        <w:rPr>
          <w:rFonts w:ascii="Times New Roman" w:hAnsi="Times New Roman" w:cs="Times New Roman"/>
          <w:sz w:val="28"/>
          <w:szCs w:val="28"/>
        </w:rPr>
        <w:t xml:space="preserve">е П -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>; </w:t>
      </w:r>
      <w:r w:rsidRPr="00C527CE">
        <w:rPr>
          <w:rFonts w:ascii="Times New Roman" w:hAnsi="Times New Roman" w:cs="Times New Roman"/>
          <w:bCs/>
          <w:i/>
          <w:iCs/>
          <w:sz w:val="28"/>
          <w:szCs w:val="28"/>
        </w:rPr>
        <w:t>N</w:t>
      </w:r>
      <w:r w:rsidRPr="00C52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5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; С -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>.</w:t>
      </w:r>
    </w:p>
    <w:p w:rsidR="00C527CE" w:rsidRPr="00C527CE" w:rsidRDefault="00C527CE" w:rsidP="00C5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C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і темп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значить,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7CE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527CE">
        <w:rPr>
          <w:rFonts w:ascii="Times New Roman" w:hAnsi="Times New Roman" w:cs="Times New Roman"/>
          <w:sz w:val="28"/>
          <w:szCs w:val="28"/>
        </w:rPr>
        <w:t>.</w:t>
      </w:r>
    </w:p>
    <w:p w:rsidR="00C527CE" w:rsidRDefault="00C527CE" w:rsidP="00F7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8" w:rsidRDefault="00B15E58" w:rsidP="00F7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58" w:rsidRPr="00C527CE" w:rsidRDefault="00B15E58" w:rsidP="00F7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E58" w:rsidRPr="00C5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D"/>
    <w:rsid w:val="00164452"/>
    <w:rsid w:val="00173F8D"/>
    <w:rsid w:val="001A6DF8"/>
    <w:rsid w:val="001D26C9"/>
    <w:rsid w:val="002074CB"/>
    <w:rsid w:val="003D0220"/>
    <w:rsid w:val="003E04CD"/>
    <w:rsid w:val="005F4FB1"/>
    <w:rsid w:val="006635A8"/>
    <w:rsid w:val="00684F42"/>
    <w:rsid w:val="00827DDA"/>
    <w:rsid w:val="008A06BD"/>
    <w:rsid w:val="00931FC9"/>
    <w:rsid w:val="009952F6"/>
    <w:rsid w:val="00A40E0F"/>
    <w:rsid w:val="00AC533A"/>
    <w:rsid w:val="00B15E58"/>
    <w:rsid w:val="00C527CE"/>
    <w:rsid w:val="00C80993"/>
    <w:rsid w:val="00D00B67"/>
    <w:rsid w:val="00D11A03"/>
    <w:rsid w:val="00DC1F5A"/>
    <w:rsid w:val="00DC4621"/>
    <w:rsid w:val="00DD4D06"/>
    <w:rsid w:val="00EA17A6"/>
    <w:rsid w:val="00F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5CDB"/>
  <w15:docId w15:val="{1FD8BF98-B154-42AE-90AB-0D7AA9DF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11A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8DEC-D464-4135-80D3-F55E1A2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2023-04-28T02:23:00Z</dcterms:created>
  <dcterms:modified xsi:type="dcterms:W3CDTF">2024-05-02T12:10:00Z</dcterms:modified>
</cp:coreProperties>
</file>