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FF" w:rsidRPr="00030073" w:rsidRDefault="004C72FF" w:rsidP="0003007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73">
        <w:rPr>
          <w:rFonts w:ascii="Times New Roman" w:hAnsi="Times New Roman" w:cs="Times New Roman"/>
          <w:b/>
          <w:sz w:val="28"/>
          <w:szCs w:val="28"/>
        </w:rPr>
        <w:t>Тема 8. Політика інформаційної безпеки для установ, що здійснюють наукову діяльність</w:t>
      </w:r>
    </w:p>
    <w:p w:rsidR="00030073" w:rsidRDefault="00030073" w:rsidP="0003007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073" w:rsidRPr="00030073" w:rsidRDefault="00030073" w:rsidP="0003007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73">
        <w:rPr>
          <w:rFonts w:ascii="Times New Roman" w:hAnsi="Times New Roman" w:cs="Times New Roman"/>
          <w:sz w:val="28"/>
          <w:szCs w:val="28"/>
        </w:rPr>
        <w:t>План</w:t>
      </w:r>
    </w:p>
    <w:p w:rsidR="004C72FF" w:rsidRPr="00030073" w:rsidRDefault="004C72FF" w:rsidP="000300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73">
        <w:rPr>
          <w:rFonts w:ascii="Times New Roman" w:hAnsi="Times New Roman" w:cs="Times New Roman"/>
          <w:sz w:val="28"/>
          <w:szCs w:val="28"/>
        </w:rPr>
        <w:t xml:space="preserve">1. Сфера застосування політики інформаційної безпеки </w:t>
      </w:r>
    </w:p>
    <w:p w:rsidR="004C72FF" w:rsidRPr="00030073" w:rsidRDefault="004C72FF" w:rsidP="000300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73">
        <w:rPr>
          <w:rFonts w:ascii="Times New Roman" w:hAnsi="Times New Roman" w:cs="Times New Roman"/>
          <w:sz w:val="28"/>
          <w:szCs w:val="28"/>
        </w:rPr>
        <w:t xml:space="preserve">2. Документальне забезпечення політики інформаційної безпеки. Політика </w:t>
      </w:r>
      <w:proofErr w:type="spellStart"/>
      <w:r w:rsidRPr="00030073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03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73">
        <w:rPr>
          <w:rFonts w:ascii="Times New Roman" w:hAnsi="Times New Roman" w:cs="Times New Roman"/>
          <w:sz w:val="28"/>
          <w:szCs w:val="28"/>
        </w:rPr>
        <w:t>Diligence</w:t>
      </w:r>
      <w:proofErr w:type="spellEnd"/>
      <w:r w:rsidRPr="0003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FB" w:rsidRPr="00030073" w:rsidRDefault="004C72FF" w:rsidP="000300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73">
        <w:rPr>
          <w:rFonts w:ascii="Times New Roman" w:hAnsi="Times New Roman" w:cs="Times New Roman"/>
          <w:sz w:val="28"/>
          <w:szCs w:val="28"/>
        </w:rPr>
        <w:t>3. Ролі та обов</w:t>
      </w:r>
      <w:r w:rsidR="00B644A5" w:rsidRPr="00030073">
        <w:rPr>
          <w:rFonts w:ascii="Times New Roman" w:hAnsi="Times New Roman" w:cs="Times New Roman"/>
          <w:sz w:val="28"/>
          <w:szCs w:val="28"/>
        </w:rPr>
        <w:t>’</w:t>
      </w:r>
      <w:r w:rsidRPr="00030073">
        <w:rPr>
          <w:rFonts w:ascii="Times New Roman" w:hAnsi="Times New Roman" w:cs="Times New Roman"/>
          <w:sz w:val="28"/>
          <w:szCs w:val="28"/>
        </w:rPr>
        <w:t>язки політики інформаційної безпеки</w:t>
      </w:r>
    </w:p>
    <w:p w:rsidR="004C72FF" w:rsidRPr="00030073" w:rsidRDefault="004C72FF" w:rsidP="000300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 ІТ</w:t>
      </w:r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інфраструктури та інформаційних технологій тягне з собою появу все більшої кількості ризиків і сфері інформаційної безпеки. Надійний партнер має усвідомлювати і задекларувати шляхом добровільної сертифікації рівень відповідальності за збереження конфіденційності не лише власних даних, а також і сторонніх інформаційних ресурсів.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інформаційної безпеки – це сукупність правил і принципів, якими керується компанія в цій області, в тому числі і з метою виконання умов сертифікації.</w:t>
      </w:r>
    </w:p>
    <w:p w:rsidR="004C72FF" w:rsidRPr="00030073" w:rsidRDefault="004C72FF" w:rsidP="00030073">
      <w:pPr>
        <w:pStyle w:val="a4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30073">
        <w:rPr>
          <w:sz w:val="28"/>
          <w:szCs w:val="28"/>
        </w:rPr>
        <w:t xml:space="preserve">Політика </w:t>
      </w:r>
      <w:proofErr w:type="spellStart"/>
      <w:r w:rsidRPr="00030073">
        <w:rPr>
          <w:sz w:val="28"/>
          <w:szCs w:val="28"/>
        </w:rPr>
        <w:t>ІБ</w:t>
      </w:r>
      <w:proofErr w:type="spellEnd"/>
      <w:r w:rsidRPr="00030073">
        <w:rPr>
          <w:sz w:val="28"/>
          <w:szCs w:val="28"/>
        </w:rPr>
        <w:t xml:space="preserve"> – це інструкція з використання оборонного щита, який вибудований на підприємстві, саме інструкція, бо щитом є система технічних засобів з інформаційної безпеки і самі користувачі, якщо вони добре поінформовані і правильно виконують свої функції.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організація інформаційної безпеки має здійснюватися шляхом комплексного підходу, політика інформаційної безпеки має встановлювати відповідальність вищого керівництва, його цілі і принципи щодо дотримання інформаційної безпеки; є дієвим засобом успішного проходження процедури проведення сертифікації у цій сфері.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політика містить загальне визначення інформаційної безпеки як можливості спільного використання інформації, законодавчий і правовий аспект питання, навчання персоналу з питань цієї сфери, протидії появі шкідливого програмного забезпечення, обов</w:t>
      </w:r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язки персоналу, відповідальність за порушення власне політики безпеки, а також управління безперервністю бізнесу.</w:t>
      </w:r>
    </w:p>
    <w:p w:rsidR="004C72FF" w:rsidRPr="00030073" w:rsidRDefault="004C72FF" w:rsidP="00030073">
      <w:pPr>
        <w:pStyle w:val="a4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30073">
        <w:rPr>
          <w:sz w:val="28"/>
          <w:szCs w:val="28"/>
        </w:rPr>
        <w:t>Відсутність правильно розробленої та впровадженої Політики інформаційної безпеки частіше за все стає причиною успішності зловмисників у випадках кібератак.</w:t>
      </w:r>
    </w:p>
    <w:p w:rsidR="004C72FF" w:rsidRPr="00030073" w:rsidRDefault="004C72FF" w:rsidP="00030073">
      <w:pPr>
        <w:pStyle w:val="a4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30073">
        <w:rPr>
          <w:sz w:val="28"/>
          <w:szCs w:val="28"/>
        </w:rPr>
        <w:t xml:space="preserve">Концепція побудови системи інформаційної безпеки повинна будуватися на принципах, характерних для системи безпеки </w:t>
      </w:r>
      <w:r w:rsidR="00175B2C" w:rsidRPr="00030073">
        <w:rPr>
          <w:sz w:val="28"/>
          <w:szCs w:val="28"/>
        </w:rPr>
        <w:t>наукової установи</w:t>
      </w:r>
      <w:r w:rsidRPr="00030073">
        <w:rPr>
          <w:sz w:val="28"/>
          <w:szCs w:val="28"/>
        </w:rPr>
        <w:t xml:space="preserve">, тобто кожен </w:t>
      </w:r>
      <w:r w:rsidRPr="00030073">
        <w:rPr>
          <w:sz w:val="28"/>
          <w:szCs w:val="28"/>
        </w:rPr>
        <w:lastRenderedPageBreak/>
        <w:t>працівник повинен себе ідентифікувати при вході в систему, по аналогії з записом в журналі відвідувань, присвоювати різні ступені доступу інформації (такі як інформація з обмеженим доступом, чи конфіденційна інформація) аналогічно забороні доступу до певних приміщень, повинна бути заборона вчиняти певні дії, та багато іншого.</w:t>
      </w:r>
    </w:p>
    <w:p w:rsidR="004C72FF" w:rsidRPr="00030073" w:rsidRDefault="004C72FF" w:rsidP="00030073">
      <w:pPr>
        <w:pStyle w:val="a4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030073">
        <w:rPr>
          <w:sz w:val="28"/>
          <w:szCs w:val="28"/>
        </w:rPr>
        <w:t xml:space="preserve">При розробці Політики </w:t>
      </w:r>
      <w:proofErr w:type="spellStart"/>
      <w:r w:rsidRPr="00030073">
        <w:rPr>
          <w:sz w:val="28"/>
          <w:szCs w:val="28"/>
        </w:rPr>
        <w:t>ІБ</w:t>
      </w:r>
      <w:proofErr w:type="spellEnd"/>
      <w:r w:rsidRPr="00030073">
        <w:rPr>
          <w:sz w:val="28"/>
          <w:szCs w:val="28"/>
        </w:rPr>
        <w:t xml:space="preserve"> потрібно балансувати на межі зниження ризиків і зручністю для користувача.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потрібно пам</w:t>
      </w:r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ятати, що Політика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ІБ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лише загальний документ (свого роду Конституція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ІБ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), загалом же Інформаційна безпека повинна поділятися на рівні:</w:t>
      </w:r>
    </w:p>
    <w:p w:rsidR="004C72FF" w:rsidRPr="00030073" w:rsidRDefault="004C72FF" w:rsidP="00030073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Інформаційної безпеки;</w:t>
      </w:r>
    </w:p>
    <w:p w:rsidR="004C72FF" w:rsidRPr="00030073" w:rsidRDefault="004C72FF" w:rsidP="00030073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спеціалізовані документи з різних напрямків інформаційної безпеки (Політика конфіденційності, Політика реагування на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кіберінциденти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4C72FF" w:rsidRPr="00030073" w:rsidRDefault="004C72FF" w:rsidP="00030073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вузькопрофільні документи, які регулюють вчинення конкретних дій працівниками в рамках Політики інформаційної безпеки (Процедури, регламенти, Посадові інструкції осіб відповідальних за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ІБ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сьогодні в Україні немає чітко врегулювання вимог до Інформаційної безпеки </w:t>
      </w:r>
      <w:r w:rsidR="00175B2C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закладах вищої освіти та наукових установах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є вимоги які ставляться до компаній, які працюють з персональними даними громадян Європейського союзу відповідно до вимог</w:t>
      </w:r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proofErr w:type="spellStart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General</w:t>
        </w:r>
        <w:proofErr w:type="spellEnd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data</w:t>
        </w:r>
        <w:proofErr w:type="spellEnd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protection</w:t>
        </w:r>
        <w:proofErr w:type="spellEnd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Pr="0003007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regulation</w:t>
        </w:r>
        <w:proofErr w:type="spellEnd"/>
      </w:hyperlink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GDPR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 деяких інших нормативних актів.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Останні тенденції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нормотворення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зокрема, проект Постанови НБУ «Про затвердження Положення про кіберзахист та інформаційну безпеку в платіжних системах та системах розрахунків», окремі норми Закону України «Про основні засади забезпечення кібербезпеки України» та деякі інші, вказують на те, що в близькому майбутньому нас чекає чітке законодавче регулювання з жорсткими вимогами до Політик інформаційної безпеки підприємств.</w:t>
      </w:r>
    </w:p>
    <w:p w:rsidR="00175B2C" w:rsidRPr="00030073" w:rsidRDefault="00175B2C" w:rsidP="00030073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достатнього рівня інформаційної безпеки наукової установи потрібно розробляти Політику інформаційної безпеки з урахуванням того, що вона є складовою системи її безпеки, і пам</w:t>
      </w:r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ятати, що вона повинна бути орієнтованою на кожного працівника, а також не навантажувати головний документ інформацією, направленою на окремих працівників. Для цього потрібно розробляти документи нижчого рівня.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політики інформаційної безпеки є початковим етапом процедури проведення сертифікації та починається з аналізу ризиків у цій сфері, в тому числі і визначення оптимального рівня ризику. Досягнення такого цього рівня 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має стати визначальною віхою та метою розробки системи управління інформаційною безпекою.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Наступний етап розробки – аналіз інформаційних ресурсів, визначення їх цінності та побудова моделі  взаємозв</w:t>
      </w:r>
      <w:r w:rsidR="00B644A5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 між ними. Отримана модель дає можливість обрати оптимальні способи протидії інформаційних ризикам та дотримуватися загальної схеми сертифікації системи управління.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Останній крок – розробка документації у сфері забезпечення інформаційної безпеки. </w:t>
      </w:r>
    </w:p>
    <w:p w:rsidR="004C72FF" w:rsidRPr="00030073" w:rsidRDefault="004C72FF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Результатом цих дій має бути створення документа, що вбирає в себе основні принципи і правила, яких дотримується компанія для забезпечення інформаційної безпеки – власне політики інформаційної безпеки.</w:t>
      </w:r>
    </w:p>
    <w:p w:rsidR="006F36DC" w:rsidRPr="00030073" w:rsidRDefault="006F36DC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36DC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Due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Diligence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процес отримання інформації про осіб, організації або компанії, з якими ви можете працювати з приводу: 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Переконатися, що інформація є об’єктивною та надійною;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 важливих фактів і описової інформації, які є найбільш доречними для прийняття обґрунтованого рішення;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того, як найкраще працювати чи співпрацювати з цією особою чи організацією в межах прийнятного ризику;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Є ключові всеохоплюючі сфери, які цікавлять під час проведення належної перевірки, зокрема: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Управління та контроль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Безпека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Розуміння дослідницької та інноваційної діяльності мають значну цінність</w:t>
      </w:r>
      <w:r w:rsidR="00445922"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проявляється в різних аспектах, зокрема: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Фінансовий,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сприяє економічному зростанню країни через ліцензії, спін-аути та інші форми розвитку.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Академічний,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сприяє накопиченню знань у предметній галузі.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Репутаційний,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поваги вашої дослідницької групи та установи в усьому світі.</w:t>
      </w:r>
    </w:p>
    <w:p w:rsidR="0056540B" w:rsidRPr="00030073" w:rsidRDefault="0056540B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Стратегічний, </w:t>
      </w: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створює технологічну, медичну або військову перевагу.</w:t>
      </w:r>
    </w:p>
    <w:p w:rsidR="0056540B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захист наукових досліджень є важливим, і спільне дослідження може бути вразливим до зловживання окремими особами, організаціями та установами, чиї цінності відрізняються від наших власних</w:t>
      </w:r>
    </w:p>
    <w:p w:rsidR="0056540B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Як допомагає </w:t>
      </w:r>
      <w:proofErr w:type="spellStart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Due</w:t>
      </w:r>
      <w:proofErr w:type="spellEnd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Diligence</w:t>
      </w:r>
      <w:proofErr w:type="spellEnd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56540B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 Надає впевненість у тому, що дослідницька група зможе виконати дослідницький проект згідно з домовленістю.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Надає можливість поділитися знаннями та системами або процесами, які вам можуть знадобитися для використання.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Відповідати очікуванням спонсора або умовам, які вимагають проведення належної обачності.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Відповідати очікуванням спонсора або умовам, які вимагають проведення належної обачності.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Коли здійснюється </w:t>
      </w:r>
      <w:proofErr w:type="spellStart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Due</w:t>
      </w:r>
      <w:proofErr w:type="spellEnd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Diligence</w:t>
      </w:r>
      <w:proofErr w:type="spellEnd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 стадії початкових обговорень;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 стадії застосування;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 стадії нагородження;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під час виконання проекту.</w:t>
      </w:r>
    </w:p>
    <w:p w:rsidR="00445922" w:rsidRPr="00030073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Коли можна провести </w:t>
      </w:r>
      <w:proofErr w:type="spellStart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Due</w:t>
      </w:r>
      <w:proofErr w:type="spellEnd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Diligence</w:t>
      </w:r>
      <w:proofErr w:type="spellEnd"/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445922" w:rsidRPr="00030073" w:rsidRDefault="00445922" w:rsidP="00030073">
      <w:pPr>
        <w:pStyle w:val="a3"/>
        <w:numPr>
          <w:ilvl w:val="0"/>
          <w:numId w:val="3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Коли працюєш з новими засновниками, партнерами,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колабораціями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45922" w:rsidRPr="00030073" w:rsidRDefault="00445922" w:rsidP="00030073">
      <w:pPr>
        <w:pStyle w:val="a3"/>
        <w:numPr>
          <w:ilvl w:val="0"/>
          <w:numId w:val="3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працюєш з новою галуззю організації вперше;</w:t>
      </w:r>
    </w:p>
    <w:p w:rsidR="00445922" w:rsidRPr="00030073" w:rsidRDefault="00445922" w:rsidP="00030073">
      <w:pPr>
        <w:pStyle w:val="a3"/>
        <w:numPr>
          <w:ilvl w:val="0"/>
          <w:numId w:val="3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 моменту належної обачності минув певний період часу;</w:t>
      </w:r>
    </w:p>
    <w:p w:rsidR="00445922" w:rsidRPr="00030073" w:rsidRDefault="00445922" w:rsidP="00030073">
      <w:pPr>
        <w:pStyle w:val="a3"/>
        <w:numPr>
          <w:ilvl w:val="0"/>
          <w:numId w:val="3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були суттєві зміни щодо персоналу;</w:t>
      </w:r>
    </w:p>
    <w:p w:rsidR="00445922" w:rsidRPr="00030073" w:rsidRDefault="00445922" w:rsidP="00030073">
      <w:pPr>
        <w:pStyle w:val="a3"/>
        <w:numPr>
          <w:ilvl w:val="0"/>
          <w:numId w:val="3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були геополітичні зміни у зовнішньому середовищі;</w:t>
      </w:r>
    </w:p>
    <w:p w:rsidR="00445922" w:rsidRDefault="00445922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політики інформаційної безпеки певного об’єкта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починається з проведення розрахунку фінансових втрат і вибору відповідних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 для виконання цих задач. При цьому необхідно врахувати такі фактори як безконфліктність 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обраних засобів, репутація постачальників засобів захисту, можливість одержання повної інформації 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механізми захисту і надані гарантії. Також варто враховувати основні положення з безпеки інформації: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економічна ефективність – вартість засобів захисту має бути меншою, ніж розміри можливого збитку;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кожен користувач повинний мати мінімальний набір привілеїв, необхідний при роботі;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простота системи захисту об’єкта – захист буде тим ефективніший, чим легше користувачу з 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відключення захисту при нормальному функціонуванні – захист не повинен відключатися, за винятком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особливих випадків, коли співробітник із спеціальними повноваженнями може мати можливість відключити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 захисту;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відкритість проектування і функціонування механізму захисту (для можливості адекватного реагування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обслуговуючого персоналу на виникнення збоїв у системі);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незалежність системи захисту від суб’єктів захисту – розроблювачами не повинні бути ті, кого вона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контролювати;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загальний контроль без будь-яких виключень з безлічі контрольованих суб’єктів;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звітність і підконтрольність системи захисту;</w:t>
      </w:r>
    </w:p>
    <w:p w:rsidR="008434E3" w:rsidRP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відповідальність осіб, що займаються інформаційною безпекою;</w:t>
      </w:r>
    </w:p>
    <w:p w:rsidR="008434E3" w:rsidRDefault="008434E3" w:rsidP="008434E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об’єкти захисту доцільно розділити на групи так, щоб порушення захисту в одній групі не впливало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34E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безпеку інших груп;</w:t>
      </w:r>
    </w:p>
    <w:p w:rsidR="00C7607B" w:rsidRPr="00C7607B" w:rsidRDefault="00C7607B" w:rsidP="00C7607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відмова від замовчування – при </w:t>
      </w:r>
      <w:proofErr w:type="spellStart"/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>збої</w:t>
      </w:r>
      <w:proofErr w:type="spellEnd"/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засобів захисту доступ до обчислювальних ресурсів повинен 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заборонений;</w:t>
      </w:r>
    </w:p>
    <w:p w:rsidR="00C7607B" w:rsidRPr="00C7607B" w:rsidRDefault="00C7607B" w:rsidP="00C7607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 захисту об’єкту має бути цілком специфікована, протестована та погоджена;</w:t>
      </w:r>
    </w:p>
    <w:p w:rsidR="00C7607B" w:rsidRPr="00C7607B" w:rsidRDefault="00C7607B" w:rsidP="00C7607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 повинна допускати зміну своїх параметрів адміністратором;</w:t>
      </w:r>
    </w:p>
    <w:p w:rsidR="00C7607B" w:rsidRPr="00C7607B" w:rsidRDefault="00C7607B" w:rsidP="00C7607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важливі критичні рішення повинні прийматися людиною, а не комп’ютером;</w:t>
      </w:r>
    </w:p>
    <w:p w:rsidR="00C7607B" w:rsidRPr="00C7607B" w:rsidRDefault="00C7607B" w:rsidP="00C7607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 захисту об’єкта повинна проектуватися в розрахунку на вороже оточення і припускати, 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 мають найгірші наміри, будуть робити помилки і шукати шляхи обходу механізмів захисту;</w:t>
      </w:r>
    </w:p>
    <w:p w:rsidR="00C7607B" w:rsidRDefault="00C7607B" w:rsidP="00C7607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існування механізмів захисту повинна бути, по можливості, схована від користувачів,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7607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яких контролюється.</w:t>
      </w:r>
    </w:p>
    <w:p w:rsidR="007E1F2B" w:rsidRPr="007E1F2B" w:rsidRDefault="007E1F2B" w:rsidP="007E1F2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 повинен заздалегідь визначити набір адміністративних санкцій, застосованих до місцевих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користувачів, які порушують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 інформаційної безпеки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сторонньої організації чи об’єкта. Крім того, необхідно подбати про захист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відповідних дій сторонньої організації. При розробці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 інформаційної безпеки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варто враховувати всі юридичні положення, 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 до подібних ситуацій.</w:t>
      </w:r>
    </w:p>
    <w:p w:rsidR="00030073" w:rsidRDefault="007E1F2B" w:rsidP="007E1F2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безпеки об’єкта повинна мати процедури для взаємодії з зовнішніми організаціями, в число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 входять правоохоронні органи, інші організації, команди "швидкого реагування", засоби масової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інформації. У процедурах повинно бути визначено, хто має право на такі контакти, і як саме вони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F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відбуваються.</w:t>
      </w:r>
    </w:p>
    <w:p w:rsidR="007E1F2B" w:rsidRDefault="007E1F2B" w:rsidP="007E1F2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1F2B" w:rsidRPr="00030073" w:rsidRDefault="007E1F2B" w:rsidP="007E1F2B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175B2C" w:rsidRPr="00030073" w:rsidRDefault="00175B2C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Використані джерела:</w:t>
      </w:r>
    </w:p>
    <w:p w:rsidR="0005177C" w:rsidRPr="00030073" w:rsidRDefault="0005177C" w:rsidP="00030073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Due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Diligence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обґрунтуванні передінвестиційних рішень у секторах національної економіки: колективна монографія /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Балджи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М.Д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Доброва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Н.В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Карпов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В.А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[та ін.]; Одеський національний економічний університет. – Одеса: </w:t>
      </w:r>
      <w:proofErr w:type="spellStart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ПромАрт</w:t>
      </w:r>
      <w:proofErr w:type="spellEnd"/>
      <w:r w:rsidRPr="00030073">
        <w:rPr>
          <w:rFonts w:ascii="Times New Roman" w:eastAsia="Times New Roman" w:hAnsi="Times New Roman" w:cs="Times New Roman"/>
          <w:sz w:val="28"/>
          <w:szCs w:val="28"/>
          <w:lang w:eastAsia="uk-UA"/>
        </w:rPr>
        <w:t>, 2018. – 335 с.</w:t>
      </w:r>
    </w:p>
    <w:p w:rsidR="0005177C" w:rsidRPr="00030073" w:rsidRDefault="007E1F2B" w:rsidP="00030073">
      <w:pPr>
        <w:pStyle w:val="js-countp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2F2F2F"/>
          <w:sz w:val="28"/>
          <w:szCs w:val="28"/>
        </w:rPr>
      </w:pPr>
      <w:hyperlink r:id="rId6" w:history="1">
        <w:r w:rsidR="00702D0C" w:rsidRPr="00030073">
          <w:rPr>
            <w:rStyle w:val="a6"/>
            <w:sz w:val="28"/>
            <w:szCs w:val="28"/>
          </w:rPr>
          <w:t>https://biz.ligazakon.net/analitycs/220139_mnmzatsya-rizikv-dlya-nvestora-dlya-chogo-potrben-due-diligence</w:t>
        </w:r>
      </w:hyperlink>
      <w:r w:rsidR="0005177C" w:rsidRPr="00030073">
        <w:rPr>
          <w:color w:val="2F2F2F"/>
          <w:sz w:val="28"/>
          <w:szCs w:val="28"/>
        </w:rPr>
        <w:t xml:space="preserve"> </w:t>
      </w:r>
    </w:p>
    <w:p w:rsidR="00175B2C" w:rsidRPr="00030073" w:rsidRDefault="007E1F2B" w:rsidP="00030073">
      <w:pPr>
        <w:pStyle w:val="js-countp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2F2F2F"/>
          <w:sz w:val="28"/>
          <w:szCs w:val="28"/>
        </w:rPr>
      </w:pPr>
      <w:hyperlink r:id="rId7" w:history="1">
        <w:r w:rsidR="00702D0C" w:rsidRPr="00030073">
          <w:rPr>
            <w:rStyle w:val="a6"/>
            <w:sz w:val="28"/>
            <w:szCs w:val="28"/>
          </w:rPr>
          <w:t>https://legalitgroup.com/informaciyna-bezpeka-v-kompanii/</w:t>
        </w:r>
      </w:hyperlink>
    </w:p>
    <w:p w:rsidR="00175B2C" w:rsidRPr="00030073" w:rsidRDefault="00702D0C" w:rsidP="00030073">
      <w:pPr>
        <w:pStyle w:val="js-countp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2F2F2F"/>
          <w:sz w:val="28"/>
          <w:szCs w:val="28"/>
        </w:rPr>
      </w:pPr>
      <w:hyperlink r:id="rId8" w:history="1">
        <w:r w:rsidRPr="00030073">
          <w:rPr>
            <w:rStyle w:val="a6"/>
            <w:sz w:val="28"/>
            <w:szCs w:val="28"/>
          </w:rPr>
          <w:t>https://atestor.ua/uk/poleznye-stati/politika-informaciinoyi-bezpeki/</w:t>
        </w:r>
      </w:hyperlink>
    </w:p>
    <w:sectPr w:rsidR="00175B2C" w:rsidRPr="00030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A8B"/>
    <w:multiLevelType w:val="multilevel"/>
    <w:tmpl w:val="615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6843"/>
    <w:multiLevelType w:val="hybridMultilevel"/>
    <w:tmpl w:val="38BE51CC"/>
    <w:lvl w:ilvl="0" w:tplc="4FE6BE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C84F31"/>
    <w:multiLevelType w:val="multilevel"/>
    <w:tmpl w:val="964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633E"/>
    <w:multiLevelType w:val="multilevel"/>
    <w:tmpl w:val="362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13A00"/>
    <w:multiLevelType w:val="multilevel"/>
    <w:tmpl w:val="BB4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3682"/>
    <w:multiLevelType w:val="multilevel"/>
    <w:tmpl w:val="CC6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F6667"/>
    <w:multiLevelType w:val="multilevel"/>
    <w:tmpl w:val="AC2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3399C"/>
    <w:multiLevelType w:val="multilevel"/>
    <w:tmpl w:val="997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52EBC"/>
    <w:multiLevelType w:val="multilevel"/>
    <w:tmpl w:val="1C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C2743"/>
    <w:multiLevelType w:val="multilevel"/>
    <w:tmpl w:val="F1A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F5EBB"/>
    <w:multiLevelType w:val="multilevel"/>
    <w:tmpl w:val="C8EA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83193"/>
    <w:multiLevelType w:val="multilevel"/>
    <w:tmpl w:val="26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750C8"/>
    <w:multiLevelType w:val="multilevel"/>
    <w:tmpl w:val="A2A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F168A"/>
    <w:multiLevelType w:val="multilevel"/>
    <w:tmpl w:val="D74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63681"/>
    <w:multiLevelType w:val="multilevel"/>
    <w:tmpl w:val="831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F54F4"/>
    <w:multiLevelType w:val="hybridMultilevel"/>
    <w:tmpl w:val="A7CA65BC"/>
    <w:lvl w:ilvl="0" w:tplc="4FE6BE2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32695E"/>
    <w:multiLevelType w:val="multilevel"/>
    <w:tmpl w:val="2DD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B2364"/>
    <w:multiLevelType w:val="multilevel"/>
    <w:tmpl w:val="FC8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A0EA0"/>
    <w:multiLevelType w:val="multilevel"/>
    <w:tmpl w:val="6EC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C2634"/>
    <w:multiLevelType w:val="multilevel"/>
    <w:tmpl w:val="878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F2826"/>
    <w:multiLevelType w:val="multilevel"/>
    <w:tmpl w:val="F5D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86541"/>
    <w:multiLevelType w:val="multilevel"/>
    <w:tmpl w:val="7E8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77A18"/>
    <w:multiLevelType w:val="multilevel"/>
    <w:tmpl w:val="A02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36A48"/>
    <w:multiLevelType w:val="multilevel"/>
    <w:tmpl w:val="218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71831"/>
    <w:multiLevelType w:val="multilevel"/>
    <w:tmpl w:val="8FE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3781F"/>
    <w:multiLevelType w:val="multilevel"/>
    <w:tmpl w:val="2CB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A544E"/>
    <w:multiLevelType w:val="multilevel"/>
    <w:tmpl w:val="E6F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75740"/>
    <w:multiLevelType w:val="multilevel"/>
    <w:tmpl w:val="05E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974AE"/>
    <w:multiLevelType w:val="multilevel"/>
    <w:tmpl w:val="3246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C143D"/>
    <w:multiLevelType w:val="multilevel"/>
    <w:tmpl w:val="520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11377"/>
    <w:multiLevelType w:val="multilevel"/>
    <w:tmpl w:val="01A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7257E"/>
    <w:multiLevelType w:val="multilevel"/>
    <w:tmpl w:val="176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D1284"/>
    <w:multiLevelType w:val="multilevel"/>
    <w:tmpl w:val="061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D2B65"/>
    <w:multiLevelType w:val="multilevel"/>
    <w:tmpl w:val="E79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44361"/>
    <w:multiLevelType w:val="multilevel"/>
    <w:tmpl w:val="2F8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63824"/>
    <w:multiLevelType w:val="multilevel"/>
    <w:tmpl w:val="07B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D3063A"/>
    <w:multiLevelType w:val="multilevel"/>
    <w:tmpl w:val="061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9A0C45"/>
    <w:multiLevelType w:val="multilevel"/>
    <w:tmpl w:val="BD6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9E4226"/>
    <w:multiLevelType w:val="multilevel"/>
    <w:tmpl w:val="DDF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"/>
  </w:num>
  <w:num w:numId="3">
    <w:abstractNumId w:val="37"/>
  </w:num>
  <w:num w:numId="4">
    <w:abstractNumId w:val="26"/>
  </w:num>
  <w:num w:numId="5">
    <w:abstractNumId w:val="3"/>
  </w:num>
  <w:num w:numId="6">
    <w:abstractNumId w:val="20"/>
  </w:num>
  <w:num w:numId="7">
    <w:abstractNumId w:val="4"/>
  </w:num>
  <w:num w:numId="8">
    <w:abstractNumId w:val="12"/>
  </w:num>
  <w:num w:numId="9">
    <w:abstractNumId w:val="27"/>
  </w:num>
  <w:num w:numId="10">
    <w:abstractNumId w:val="28"/>
  </w:num>
  <w:num w:numId="11">
    <w:abstractNumId w:val="16"/>
  </w:num>
  <w:num w:numId="12">
    <w:abstractNumId w:val="22"/>
  </w:num>
  <w:num w:numId="13">
    <w:abstractNumId w:val="17"/>
  </w:num>
  <w:num w:numId="14">
    <w:abstractNumId w:val="38"/>
  </w:num>
  <w:num w:numId="15">
    <w:abstractNumId w:val="7"/>
  </w:num>
  <w:num w:numId="16">
    <w:abstractNumId w:val="24"/>
  </w:num>
  <w:num w:numId="17">
    <w:abstractNumId w:val="11"/>
  </w:num>
  <w:num w:numId="18">
    <w:abstractNumId w:val="32"/>
  </w:num>
  <w:num w:numId="19">
    <w:abstractNumId w:val="14"/>
  </w:num>
  <w:num w:numId="20">
    <w:abstractNumId w:val="0"/>
  </w:num>
  <w:num w:numId="21">
    <w:abstractNumId w:val="13"/>
  </w:num>
  <w:num w:numId="22">
    <w:abstractNumId w:val="6"/>
  </w:num>
  <w:num w:numId="23">
    <w:abstractNumId w:val="35"/>
  </w:num>
  <w:num w:numId="24">
    <w:abstractNumId w:val="31"/>
  </w:num>
  <w:num w:numId="25">
    <w:abstractNumId w:val="29"/>
  </w:num>
  <w:num w:numId="26">
    <w:abstractNumId w:val="34"/>
  </w:num>
  <w:num w:numId="27">
    <w:abstractNumId w:val="33"/>
  </w:num>
  <w:num w:numId="28">
    <w:abstractNumId w:val="18"/>
  </w:num>
  <w:num w:numId="29">
    <w:abstractNumId w:val="10"/>
  </w:num>
  <w:num w:numId="30">
    <w:abstractNumId w:val="8"/>
  </w:num>
  <w:num w:numId="31">
    <w:abstractNumId w:val="36"/>
  </w:num>
  <w:num w:numId="32">
    <w:abstractNumId w:val="19"/>
  </w:num>
  <w:num w:numId="33">
    <w:abstractNumId w:val="21"/>
  </w:num>
  <w:num w:numId="34">
    <w:abstractNumId w:val="2"/>
  </w:num>
  <w:num w:numId="35">
    <w:abstractNumId w:val="23"/>
  </w:num>
  <w:num w:numId="36">
    <w:abstractNumId w:val="30"/>
  </w:num>
  <w:num w:numId="37">
    <w:abstractNumId w:val="9"/>
  </w:num>
  <w:num w:numId="38">
    <w:abstractNumId w:val="1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FF"/>
    <w:rsid w:val="00030073"/>
    <w:rsid w:val="0005177C"/>
    <w:rsid w:val="00175B2C"/>
    <w:rsid w:val="00445922"/>
    <w:rsid w:val="004C72FF"/>
    <w:rsid w:val="0056540B"/>
    <w:rsid w:val="006F36DC"/>
    <w:rsid w:val="00702D0C"/>
    <w:rsid w:val="007E1F2B"/>
    <w:rsid w:val="008434E3"/>
    <w:rsid w:val="00A20E69"/>
    <w:rsid w:val="00B644A5"/>
    <w:rsid w:val="00C7607B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E6FA-156D-444C-8949-CED064E5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C7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2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C72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4C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C72FF"/>
    <w:rPr>
      <w:b/>
      <w:bCs/>
    </w:rPr>
  </w:style>
  <w:style w:type="character" w:styleId="a6">
    <w:name w:val="Hyperlink"/>
    <w:basedOn w:val="a0"/>
    <w:uiPriority w:val="99"/>
    <w:unhideWhenUsed/>
    <w:rsid w:val="004C72FF"/>
    <w:rPr>
      <w:color w:val="0000FF"/>
      <w:u w:val="single"/>
    </w:rPr>
  </w:style>
  <w:style w:type="paragraph" w:customStyle="1" w:styleId="js-countp">
    <w:name w:val="js-countp"/>
    <w:basedOn w:val="a"/>
    <w:rsid w:val="006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31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9423">
          <w:marLeft w:val="0"/>
          <w:marRight w:val="0"/>
          <w:marTop w:val="0"/>
          <w:marBottom w:val="450"/>
          <w:divBdr>
            <w:top w:val="single" w:sz="6" w:space="14" w:color="001F8E"/>
            <w:left w:val="single" w:sz="6" w:space="17" w:color="001F8E"/>
            <w:bottom w:val="single" w:sz="6" w:space="14" w:color="001F8E"/>
            <w:right w:val="single" w:sz="6" w:space="17" w:color="001F8E"/>
          </w:divBdr>
        </w:div>
      </w:divsChild>
    </w:div>
    <w:div w:id="773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6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09110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</w:divsChild>
    </w:div>
    <w:div w:id="908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2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stor.ua/uk/poleznye-stati/politika-informaciinoyi-bezpe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itgroup.com/informaciyna-bezpeka-v-komp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.ligazakon.net/analitycs/220139_mnmzatsya-rizikv-dlya-nvestora-dlya-chogo-potrben-due-diligence" TargetMode="External"/><Relationship Id="rId5" Type="http://schemas.openxmlformats.org/officeDocument/2006/relationships/hyperlink" Target="https://legalitgroup.com/gdpr-novi-yevropejski-tendentsiy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6912</Words>
  <Characters>3941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2024-04-14T13:58:00Z</dcterms:created>
  <dcterms:modified xsi:type="dcterms:W3CDTF">2024-04-14T20:07:00Z</dcterms:modified>
</cp:coreProperties>
</file>