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43">
        <w:rPr>
          <w:rFonts w:ascii="Times New Roman" w:hAnsi="Times New Roman" w:cs="Times New Roman"/>
          <w:b/>
          <w:sz w:val="28"/>
          <w:szCs w:val="28"/>
        </w:rPr>
        <w:t>Тема 2. Складові розвитку науки та науково-технічної діяльності в Україні</w:t>
      </w: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1. Пріоритетні напрями розвитку науки в Україні та світі  </w:t>
      </w:r>
    </w:p>
    <w:p w:rsidR="001D27FD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2. Складові науково-технічної діяльності в Україні  </w:t>
      </w: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A43">
        <w:rPr>
          <w:rFonts w:ascii="Times New Roman" w:hAnsi="Times New Roman" w:cs="Times New Roman"/>
          <w:i/>
          <w:sz w:val="28"/>
          <w:szCs w:val="28"/>
        </w:rPr>
        <w:t>1. Пріоритетні напрями розвитку науки в Україні та світі</w:t>
      </w: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Кожна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країна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світі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формує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державну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політику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щодо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наукової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 та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науково-технічної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сфери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 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Це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виражається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підготовці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законодавчих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документів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визначають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пріоритетні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вектори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руху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вченої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Сьогодні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ми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поговоримо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основні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напрями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науки в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нашій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державі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і для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цього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розглянемо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Закон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України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"Про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пріоритетні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напрями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науки і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техніки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".</w:t>
      </w: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Пріоритетними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науки і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техніки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є</w:t>
      </w:r>
      <w:r w:rsidRPr="00E65A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економічно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соціально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обґрунтовані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науково-технічного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Їм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надається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державна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підтримка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довгостроковий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період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понад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10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років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).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робиться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з метою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формування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ефективного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сектору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досліджень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науково-технічних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розробок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конкурентоспроможності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вітчизняного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виробництва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сталого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безпеки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якості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життя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Пріоритетними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тематичними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наукових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досліджень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науково-технічних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розробок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є</w:t>
      </w:r>
      <w:r w:rsidRPr="00E65A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фундаментальних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прикладних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досліджень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науково-технічних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розробок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яким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надається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підтримка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середньостроковий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період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(до 5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років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</w:t>
      </w:r>
      <w:proofErr w:type="gram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рамках</w:t>
      </w:r>
      <w:proofErr w:type="gram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пріоритетних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напрямів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науки і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техніки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метою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реалізації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Пріоритетні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науки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техніки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2020-го </w:t>
      </w:r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продовжені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E65A43" w:rsidRPr="00E65A43" w:rsidRDefault="00E65A43" w:rsidP="00E65A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Фундаментальні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наукові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дослідження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з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найбільш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важливих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проблем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науково-технічного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соціально-економічного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суспільно-політичного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людського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потенціалу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lastRenderedPageBreak/>
        <w:t>конкурентоспроможності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України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світі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сталого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суспільства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держави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Інформаційні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комунікаційні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технології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Енергетика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енергоефективність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Раціональне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природокористування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Науки про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життя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нові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технології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профілактики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лікування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найпоширеніших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захворювань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Нові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речовини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матеріали</w:t>
      </w:r>
      <w:proofErr w:type="spellEnd"/>
      <w:r w:rsidRPr="00E65A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Щорічно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Кабінет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Міністрів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подає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узагальнену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інформацію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хід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реалізації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пріоритетних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напрямів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отримані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результати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Верховної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Ради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аналітичної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довідки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інституту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науково-технічної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експертизи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інформації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Міністерства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науки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реалізація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пріоритетних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напрямів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науки і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техніки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2019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році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мало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картину :</w:t>
      </w:r>
      <w:proofErr w:type="gram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 </w:t>
      </w: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Найбільші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обсяги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видатків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загального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фонду на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дослідження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розробки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ДіР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за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пріоритетними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були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спрямовані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такими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головними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розпорядниками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Національною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академією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наук (НАН),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Міністерством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науки (МОН)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Національною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академією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медичних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наук (НАМН).</w:t>
      </w: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Найбільшу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фінансову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підтримку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як і в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минулі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роки, одержав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пріоритетний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"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Фундаментальні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дослідження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найбільш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важливих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проблем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науково-технічного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соціально-економічного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суспільнополітичного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людського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потенціалу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конкурентоспроможності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сталого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суспільства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" (67,0 %).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Найменшу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підтримку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–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пріоритетні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"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Нові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речовини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" (5,1 %), "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Інформаційні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комунікаційні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технології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" (4,7 %) і "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Енергетика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енергоефективність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" (3,1 %). </w:t>
      </w: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оновлених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даних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рейтингу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Scimago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(за 2019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рік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серед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опублікованих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документів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українськими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вченими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в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базі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даних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Scopus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переважають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галузі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інженерія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фізика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астрономія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комп’ютерні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науки,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матеріалознавство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математика, медицина,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хімія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соціальні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науки. На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картинці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Ви можете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побачити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кількість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орпублікованих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документів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E65A43" w:rsidRPr="00E65A43" w:rsidRDefault="00E65A43" w:rsidP="00E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65A4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w:drawing>
          <wp:inline distT="0" distB="0" distL="0" distR="0">
            <wp:extent cx="6011413" cy="3187285"/>
            <wp:effectExtent l="0" t="0" r="8890" b="0"/>
            <wp:docPr id="1" name="Рисунок 1" descr="Кількість наукових публікацій українських вчених у Scimago">
              <a:hlinkClick xmlns:a="http://schemas.openxmlformats.org/drawingml/2006/main" r:id="rId5" tooltip="&quot;Кількість наукових публікацій українських вчених у Scima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ількість наукових публікацій українських вчених у Scimago">
                      <a:hlinkClick r:id="rId5" tooltip="&quot;Кількість наукових публікацій українських вчених у Scima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59" cy="320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43" w:rsidRPr="00E65A43" w:rsidRDefault="00E65A43" w:rsidP="00E65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Рейтинг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показує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наші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дослідники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більше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публікують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тих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галузях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науки,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входять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фундаментальних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наукових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дослідждень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фізика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астрономія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матеріалознавство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математика,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хімія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демонструє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реалізацію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вітчизняного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вченого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потенціалу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згідно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вектору, </w:t>
      </w:r>
      <w:proofErr w:type="spellStart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обраного</w:t>
      </w:r>
      <w:proofErr w:type="spellEnd"/>
      <w:r w:rsidRPr="00E65A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державою.</w:t>
      </w: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2024 року,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набирає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> </w:t>
      </w:r>
      <w:hyperlink r:id="rId7" w:anchor="Text" w:history="1">
        <w:r w:rsidRPr="00E65A4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 xml:space="preserve">Закон </w:t>
        </w:r>
        <w:proofErr w:type="spellStart"/>
        <w:r w:rsidRPr="00E65A4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України</w:t>
        </w:r>
        <w:proofErr w:type="spellEnd"/>
        <w:r w:rsidRPr="00E65A4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 xml:space="preserve"> № 3534-IX</w:t>
        </w:r>
      </w:hyperlink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внесено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пріоритетні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науки і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» та «Про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пріоритетні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інноваційної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воєнний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стан та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першочергових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потреб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переліки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доповнили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напрямом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потребам сфер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та оборони.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актуальним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скасування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стану в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та до 31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скасування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Передбачається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року уряд та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приведуть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законом,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підготують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законопроєкти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пріоритетних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науки і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пріоритетних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інноваційної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спрямовані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повоєнну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відбудову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забезпечить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науково-технічних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розробок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підсилять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сферу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та оборони й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A43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E65A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A43" w:rsidRDefault="00E65A43" w:rsidP="00E65A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>2. Складові науково-технічної діяльності в Україні</w:t>
      </w:r>
    </w:p>
    <w:p w:rsidR="00E65A43" w:rsidRDefault="00E65A43" w:rsidP="00E65A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Основою науково-технічного розвитку країни є науково-технологічний потенціал, який є складовою загального економічного потенціалу держави та являє собою сукупність усіх засобів науково-технічної діяльності та її ресурсів.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За чинним законодавством України науково–технологічний потенціал визначається як складовий елемент інноваційного потенціалу національної економіки. Так, у Законі України «Про пріоритетні напрями інноваційної діяльності в Україні» інноваційний потенціал визначається як сукупність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науковотехнологічних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, фінансово-економічних, виробничих, соціальних та культурно-освітніх можливостей країни (галузі, регіону, підприємства тощо), необхідних для забезпечення інноваційного розвитку економіки. У підручнику В. П. Решетило науково-технічний потенціал, як складова економічного потенціалу, визначається як наявні у країні можливості в галузі науково-дослідних і дослідно-конструкторських розробок (НДДКР). Це досягнення фундаментальної та прикладної науки, нові технології,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дослідноекспериментальна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 база, а також науково-технічні й конструкторс</w:t>
      </w:r>
      <w:r w:rsidR="001C7422">
        <w:rPr>
          <w:rFonts w:ascii="Times New Roman" w:hAnsi="Times New Roman" w:cs="Times New Roman"/>
          <w:sz w:val="28"/>
          <w:szCs w:val="28"/>
        </w:rPr>
        <w:t>ькі кадри високої кваліфікації</w:t>
      </w:r>
      <w:r w:rsidRPr="00E65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Мірошник І.М. відокремлює дві складові, зокрема відзначає, що частина науково-технологічний потенціалу складається із сукупності взаємопов’язаних структур, які займаються виробництвом та комерційною реалізацією наукових знань та технологій в межах національних кордонів: малих та великих компаній, університетів, державних лабораторій, </w:t>
      </w:r>
      <w:r w:rsidRPr="00E65A43">
        <w:rPr>
          <w:rFonts w:ascii="Times New Roman" w:hAnsi="Times New Roman" w:cs="Times New Roman"/>
          <w:sz w:val="28"/>
          <w:szCs w:val="28"/>
        </w:rPr>
        <w:lastRenderedPageBreak/>
        <w:t xml:space="preserve">технопарків та інкубаторів. Інша частина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науковотехнологічного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 потенціалу – комплекс інститутів правового, фінансового та соціального характеру, що забезпечують інноваційні процеси та мають міцні національні корені, традиції, політичні та куль</w:t>
      </w:r>
      <w:r w:rsidR="001C7422">
        <w:rPr>
          <w:rFonts w:ascii="Times New Roman" w:hAnsi="Times New Roman" w:cs="Times New Roman"/>
          <w:sz w:val="28"/>
          <w:szCs w:val="28"/>
        </w:rPr>
        <w:t>турні особливості”</w:t>
      </w:r>
      <w:r w:rsidRPr="00E65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>Економічний вимір інноваційної системи країни включає в себе суб’єктів, які перетворюють технічні можливості в комерційні. Кожна група технічних можливостей може спричинити появу різноманітних комерційних можливостей, які, в свою чергу, можуть бути реалізовані на різних ринках. Функціонування інноваційної системи країни забезпечують три основні елементи: учасники, мережі т</w:t>
      </w:r>
      <w:r>
        <w:rPr>
          <w:rFonts w:ascii="Times New Roman" w:hAnsi="Times New Roman" w:cs="Times New Roman"/>
          <w:sz w:val="28"/>
          <w:szCs w:val="28"/>
        </w:rPr>
        <w:t>а інституції підтримки.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Сучасні економічні дослідження доводять, що поява певних інноваційних технологій і продуктів тягне за собою потік інновацій і сприяє появі інноваційних мереж - групи підприємств, пов'язаних загальної інноваційної метою. При цьому створюється ланцюжок цінностей і відбувається комбінування факторів виробництва, які забезпечують найбільшу ефективність для майбутньої інновації. Для окремого економічного суб'єкта немає необхідності бути кращим у всьому: досить бути кращим у своєму напрямку і підтримувати відносини з підприємствами, кращими у своїй галузі. </w:t>
      </w:r>
    </w:p>
    <w:p w:rsid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Таким чином, поява нових технологій і відповідна трансформація промисловості є результатом динамічної взаємодії між підприємствами-новаторами та організаціями, здатних забезпечити інноваційну підтримку, такими, як університети, промислові асоціації та урядові органи, причому найбільш вагому роль у цьому процесі відіграє інституційна складова. Ключовою характеристикою науково–технологічного потенціалу є взаємодія суб’єктів у процесі науково-технічного розвитку, завдяки якій відбувається перетворення вхідних ресурсів на нові технології та інновації, та їх виведення на ринок. Взаємодія інноваційних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суб΄єктів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 між собою та із зовнішньою інфраструктурою відбувається у таких формах, як комбінування, кооперування, координація та інтеграція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lastRenderedPageBreak/>
        <w:t xml:space="preserve">Гнучкі форми мережевої взаємодії в даний час є найбільш перспективними у сфері інноваційної діяльності. За рахунок наведених форм створюється ланцюжок цінностей і відбувається комбінування факторів виробництва, які забезпечують найбільшу ефективність для майбутньої інновації. В результаті такої взаємодії налагоджуються стійкі функціональні зв’язки, утворюються технологічні мережі, які при відповідному інституційному забезпеченні, формують науково-технологічний потенціал країни. </w:t>
      </w:r>
    </w:p>
    <w:p w:rsid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>Особливо важливим є питання формування попиту та пропозиції технологій, ролі головних суб’єктів в науковій системі та їх поділ праці. Виконання цього завдання відбувається через реалізацію низки функцій, які є основою як національної інноваційної системи в цілому, так і для забезпечення науково-технологічного потенціалу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Науково-технологічний потенціал держави характеризується за особливостями структури, якісними та соціально-економічними характеристиками. У межах даного дослідження науково–технологічний потенціал визначається як характеристика здатності інноваційної системи до змін, прогресу, покращень за рахунок досягнень науки та технологій. Тому у складі науково-технологічного потенціалу доцільно виділити наступні елементи: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- ресурсний потенціал;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- інноваційно-інформаційний потенціал;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- інтелектуальний потенціал;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- інвестиційний потенціал;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- інфраструктурний потенціал.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Ресурсна складова науково-технологічного потенціалу розглядається як основа для його формування, та включаючи в себе необхідні для забезпечення ресурси: матеріально-технічні, фінансові, технологічні, трудові. Матеріально-технічні ресурси визначають техніко-технологічну базу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науковотехнологічного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 потенціалу, яка безпосередньо впливає на масштаби і </w:t>
      </w:r>
      <w:r w:rsidRPr="00E65A43">
        <w:rPr>
          <w:rFonts w:ascii="Times New Roman" w:hAnsi="Times New Roman" w:cs="Times New Roman"/>
          <w:sz w:val="28"/>
          <w:szCs w:val="28"/>
        </w:rPr>
        <w:lastRenderedPageBreak/>
        <w:t xml:space="preserve">темпи інноваційної діяльності. Першочергове значення для прискорення науково-технічної діяльності має впровадження передової техніки і технології, що дозволяє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 переходити на випуск нової продукції. Це актуально на сьогодні для усіх галузей національної економіки.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У наукових колах точаться дискусії щодо виділення інформаційних ресурсів у складі ресурсного потенціалу. Деякі науковці розглядають інформацію як складову усієї сукупності виробничих ресурсів, деякі пропонують виділяти інформаційні технології як окремий елемент науково-технологічного потенціалу. Виходячи із сучасних вимог, ролі та швидкості обміну інформації, у складі науково-технологічного потенціалу доцільно виділити окремим елементом інноваційно-інформаційний потенціал, у який пропонується включати інновації, винаходи, дослідження на стадії розробки та інформаційні ресурси - моделі, програми, бази даних, проекти тощо.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Наступною складовою науково-технологічного потенціалу є інтелектуальний потенціал – можливість розвитку і використання інтелектуального капіталу як сукупності досягнутого рівня знань та цінностей, відображених у вигляді брендів, патентів, ліцензій та інших нематеріальних активів. Інтелектуальний потенціал також включає здатність фахівців сприймати і генерувати інновації, інтелектуальну власність, інноваційну інформованість. </w:t>
      </w:r>
    </w:p>
    <w:p w:rsidR="001C7422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зв΄язку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 із високим рівнем капіталізації науково-технічної діяльності, у складі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науковотехнологічного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 потенціалу пропонується відокремлювати інвестиційну складову, призначенням якої є забезпечення комерціалізації результатів інноваційної діяльності. Головною характеристикою інвестиційної складової є інвестиційна привабливість інновацій. </w:t>
      </w:r>
    </w:p>
    <w:p w:rsid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A43">
        <w:rPr>
          <w:rFonts w:ascii="Times New Roman" w:hAnsi="Times New Roman" w:cs="Times New Roman"/>
          <w:sz w:val="28"/>
          <w:szCs w:val="28"/>
        </w:rPr>
        <w:t xml:space="preserve">Інфраструктурний потенціал включає сукупну властивість виробничої,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інстутиціональної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 та інноваційної </w:t>
      </w:r>
      <w:proofErr w:type="spellStart"/>
      <w:r w:rsidRPr="00E65A43">
        <w:rPr>
          <w:rFonts w:ascii="Times New Roman" w:hAnsi="Times New Roman" w:cs="Times New Roman"/>
          <w:sz w:val="28"/>
          <w:szCs w:val="28"/>
        </w:rPr>
        <w:t>інфраструктур</w:t>
      </w:r>
      <w:proofErr w:type="spellEnd"/>
      <w:r w:rsidRPr="00E65A43">
        <w:rPr>
          <w:rFonts w:ascii="Times New Roman" w:hAnsi="Times New Roman" w:cs="Times New Roman"/>
          <w:sz w:val="28"/>
          <w:szCs w:val="28"/>
        </w:rPr>
        <w:t xml:space="preserve"> забезпечувати умови, необхідні для реалізації науково-технологічного потенціалу відповідного рівня економічної системи – здійснення інноваційних процесів в економіці, а також трансферу технологічних інновацій. У цій системі мережа науково-</w:t>
      </w:r>
      <w:r w:rsidRPr="00E65A43">
        <w:rPr>
          <w:rFonts w:ascii="Times New Roman" w:hAnsi="Times New Roman" w:cs="Times New Roman"/>
          <w:sz w:val="28"/>
          <w:szCs w:val="28"/>
        </w:rPr>
        <w:lastRenderedPageBreak/>
        <w:t>дослідних, конструкторських, проектних інститутів, а також дослідних підрозділів вищих навчальних закладів функціонує з метою виробництва, розповсюдження та впровадження в практику наукових знань, реалізації єдиної науково-технічної політики.</w:t>
      </w: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43">
        <w:rPr>
          <w:rFonts w:ascii="Times New Roman" w:hAnsi="Times New Roman" w:cs="Times New Roman"/>
          <w:sz w:val="28"/>
          <w:szCs w:val="28"/>
        </w:rPr>
        <w:t>Таким чином, науково-технологічний потенціал забезпечується його ресурсною, інноваційно інформаційною, інтелектуальною, інвестиційною та інфраструктурною складовими, які створюють можливість реалізації національних інноваційних процесів.</w:t>
      </w: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A43" w:rsidRPr="00E65A43" w:rsidRDefault="00E65A43" w:rsidP="00E6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A43" w:rsidRPr="00E6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444"/>
    <w:multiLevelType w:val="multilevel"/>
    <w:tmpl w:val="3B00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1C"/>
    <w:rsid w:val="001C7422"/>
    <w:rsid w:val="001D27FD"/>
    <w:rsid w:val="003871CA"/>
    <w:rsid w:val="00A5791C"/>
    <w:rsid w:val="00E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C4EBB-5983-4289-AF08-CDEB6C2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E65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E65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65A43"/>
    <w:rPr>
      <w:b/>
      <w:bCs/>
    </w:rPr>
  </w:style>
  <w:style w:type="character" w:styleId="a5">
    <w:name w:val="Hyperlink"/>
    <w:basedOn w:val="a0"/>
    <w:uiPriority w:val="99"/>
    <w:unhideWhenUsed/>
    <w:rsid w:val="00E65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34-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im.media/web/uploads/global/%D0%BF%D1%80%D1%96%D0%BE%D1%80%D0%B8%D1%82%D0%B5%D1%82%D0%BD%D1%96%20%D0%BD%D0%B0%D0%BF%D1%80%D1%8F%D0%BC%D0%B8-min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2024-04-13T08:57:00Z</dcterms:created>
  <dcterms:modified xsi:type="dcterms:W3CDTF">2024-04-13T09:23:00Z</dcterms:modified>
</cp:coreProperties>
</file>