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1E" w:rsidRPr="0053620F" w:rsidRDefault="00121F1E" w:rsidP="00121F1E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53620F">
        <w:rPr>
          <w:b/>
          <w:sz w:val="28"/>
          <w:szCs w:val="28"/>
          <w:lang w:val="uk-UA"/>
        </w:rPr>
        <w:t>Навчальна дисципліна «Філософія»</w:t>
      </w:r>
    </w:p>
    <w:p w:rsidR="00121F1E" w:rsidRPr="0053620F" w:rsidRDefault="00121F1E" w:rsidP="00121F1E">
      <w:pPr>
        <w:jc w:val="center"/>
        <w:rPr>
          <w:b/>
          <w:i/>
          <w:sz w:val="28"/>
          <w:szCs w:val="28"/>
          <w:lang w:val="uk-UA"/>
        </w:rPr>
      </w:pPr>
    </w:p>
    <w:p w:rsidR="00121F1E" w:rsidRDefault="00121F1E" w:rsidP="00121F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№ 6</w:t>
      </w:r>
    </w:p>
    <w:p w:rsidR="00121F1E" w:rsidRPr="0053620F" w:rsidRDefault="00121F1E" w:rsidP="00121F1E">
      <w:pPr>
        <w:jc w:val="center"/>
        <w:rPr>
          <w:b/>
          <w:i/>
          <w:sz w:val="28"/>
          <w:szCs w:val="28"/>
          <w:lang w:val="uk-UA"/>
        </w:rPr>
      </w:pPr>
    </w:p>
    <w:p w:rsidR="0083404A" w:rsidRPr="00E77870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121F1E">
        <w:rPr>
          <w:b/>
          <w:bCs/>
          <w:sz w:val="28"/>
          <w:szCs w:val="28"/>
          <w:lang w:val="uk-UA"/>
        </w:rPr>
        <w:t>6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Свідомість як духовний феномен і предмет філософського аналізу</w:t>
      </w:r>
    </w:p>
    <w:p w:rsidR="0083404A" w:rsidRPr="00A958F5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1.</w:t>
      </w:r>
      <w:r w:rsidRPr="00A958F5">
        <w:rPr>
          <w:sz w:val="28"/>
          <w:szCs w:val="28"/>
          <w:lang w:val="uk-UA"/>
        </w:rPr>
        <w:tab/>
        <w:t>Свідомість як філософська проблема.</w:t>
      </w:r>
    </w:p>
    <w:p w:rsidR="0083404A" w:rsidRPr="00A958F5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2.</w:t>
      </w:r>
      <w:r w:rsidRPr="00A958F5">
        <w:rPr>
          <w:sz w:val="28"/>
          <w:szCs w:val="28"/>
          <w:lang w:val="uk-UA"/>
        </w:rPr>
        <w:tab/>
        <w:t>Властивості свідомості та її структура.</w:t>
      </w:r>
    </w:p>
    <w:p w:rsidR="0083404A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3.</w:t>
      </w:r>
      <w:r w:rsidRPr="00A958F5">
        <w:rPr>
          <w:sz w:val="28"/>
          <w:szCs w:val="28"/>
          <w:lang w:val="uk-UA"/>
        </w:rPr>
        <w:tab/>
        <w:t>Свідомість і мова</w:t>
      </w:r>
      <w:r>
        <w:rPr>
          <w:sz w:val="28"/>
          <w:szCs w:val="28"/>
          <w:lang w:val="uk-UA"/>
        </w:rPr>
        <w:t>: єдність і відмінність</w:t>
      </w:r>
      <w:r w:rsidRPr="00A958F5">
        <w:rPr>
          <w:sz w:val="28"/>
          <w:szCs w:val="28"/>
          <w:lang w:val="uk-UA"/>
        </w:rPr>
        <w:t>.</w:t>
      </w:r>
    </w:p>
    <w:p w:rsidR="0083404A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4224E">
        <w:rPr>
          <w:sz w:val="28"/>
          <w:szCs w:val="28"/>
          <w:lang w:val="uk-UA"/>
        </w:rPr>
        <w:t>Індивідуальна і суспільна свідомість. Структура суспільної свідомості</w:t>
      </w:r>
      <w:r>
        <w:rPr>
          <w:sz w:val="28"/>
          <w:szCs w:val="28"/>
          <w:lang w:val="uk-UA"/>
        </w:rPr>
        <w:t>.</w:t>
      </w:r>
    </w:p>
    <w:p w:rsidR="0083404A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121F1E" w:rsidRDefault="00121F1E" w:rsidP="00121F1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sz w:val="28"/>
          <w:szCs w:val="28"/>
          <w:lang w:val="uk-UA"/>
        </w:rPr>
      </w:pPr>
      <w:r w:rsidRPr="00D0359D">
        <w:rPr>
          <w:b/>
          <w:bCs/>
          <w:sz w:val="28"/>
          <w:szCs w:val="28"/>
          <w:lang w:val="uk-UA"/>
        </w:rPr>
        <w:t>Питання для доповідей</w:t>
      </w:r>
    </w:p>
    <w:p w:rsidR="00121F1E" w:rsidRPr="002046E7" w:rsidRDefault="00121F1E" w:rsidP="00121F1E">
      <w:pPr>
        <w:pStyle w:val="ab"/>
        <w:tabs>
          <w:tab w:val="left" w:pos="284"/>
          <w:tab w:val="left" w:pos="567"/>
        </w:tabs>
        <w:ind w:left="567"/>
        <w:jc w:val="both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1F1E">
        <w:rPr>
          <w:rFonts w:ascii="Times New Roman" w:hAnsi="Times New Roman"/>
          <w:i w:val="0"/>
          <w:sz w:val="28"/>
          <w:szCs w:val="28"/>
          <w:lang w:val="ru-RU"/>
        </w:rPr>
        <w:t xml:space="preserve">Духовні виміри людського буття: дух, душа, </w:t>
      </w:r>
      <w:proofErr w:type="gramStart"/>
      <w:r w:rsidRPr="00121F1E">
        <w:rPr>
          <w:rFonts w:ascii="Times New Roman" w:hAnsi="Times New Roman"/>
          <w:i w:val="0"/>
          <w:sz w:val="28"/>
          <w:szCs w:val="28"/>
          <w:lang w:val="ru-RU"/>
        </w:rPr>
        <w:t>св</w:t>
      </w:r>
      <w:proofErr w:type="gramEnd"/>
      <w:r w:rsidRPr="00121F1E">
        <w:rPr>
          <w:rFonts w:ascii="Times New Roman" w:hAnsi="Times New Roman"/>
          <w:i w:val="0"/>
          <w:sz w:val="28"/>
          <w:szCs w:val="28"/>
          <w:lang w:val="ru-RU"/>
        </w:rPr>
        <w:t xml:space="preserve">ідомість, самосвідомість, несвідоме, ментальність, духовність.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121F1E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121F1E">
        <w:rPr>
          <w:rFonts w:ascii="Times New Roman" w:hAnsi="Times New Roman"/>
          <w:i w:val="0"/>
          <w:sz w:val="28"/>
          <w:szCs w:val="28"/>
          <w:lang w:val="ru-RU"/>
        </w:rPr>
        <w:t xml:space="preserve">ізні підходи до тлумачення духовності в історії філософії і культури.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21F1E">
        <w:rPr>
          <w:rFonts w:ascii="Times New Roman" w:hAnsi="Times New Roman"/>
          <w:i w:val="0"/>
          <w:sz w:val="28"/>
          <w:szCs w:val="28"/>
          <w:lang w:val="ru-RU"/>
        </w:rPr>
        <w:t xml:space="preserve">Походження і сутність </w:t>
      </w:r>
      <w:proofErr w:type="gramStart"/>
      <w:r w:rsidRPr="00121F1E">
        <w:rPr>
          <w:rFonts w:ascii="Times New Roman" w:hAnsi="Times New Roman"/>
          <w:i w:val="0"/>
          <w:sz w:val="28"/>
          <w:szCs w:val="28"/>
          <w:lang w:val="ru-RU"/>
        </w:rPr>
        <w:t>св</w:t>
      </w:r>
      <w:proofErr w:type="gramEnd"/>
      <w:r w:rsidRPr="00121F1E">
        <w:rPr>
          <w:rFonts w:ascii="Times New Roman" w:hAnsi="Times New Roman"/>
          <w:i w:val="0"/>
          <w:sz w:val="28"/>
          <w:szCs w:val="28"/>
          <w:lang w:val="ru-RU"/>
        </w:rPr>
        <w:t xml:space="preserve">ідомості як філософська проблема.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як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субстанція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як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відображення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як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суб’єктивна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реальність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Проблема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ідеального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Буттєвий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рефлексивний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шари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свідомості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Значення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смисл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Властивості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свідомості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: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універсальність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суб’єктивність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комунікативність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активність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системність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мова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>.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як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система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Проблема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несвідомого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Архетипи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колективного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несвідомого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1F1E">
        <w:rPr>
          <w:rFonts w:ascii="Times New Roman" w:hAnsi="Times New Roman"/>
          <w:i w:val="0"/>
          <w:sz w:val="28"/>
          <w:szCs w:val="28"/>
          <w:lang w:val="ru-RU"/>
        </w:rPr>
        <w:t>Роль несвідомого в людському бутті.</w:t>
      </w:r>
      <w:bookmarkStart w:id="1" w:name="_Hlk84772402"/>
      <w:r w:rsidRPr="00121F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та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самосвідомість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1F1E">
        <w:rPr>
          <w:rFonts w:ascii="Times New Roman" w:hAnsi="Times New Roman"/>
          <w:i w:val="0"/>
          <w:sz w:val="28"/>
          <w:szCs w:val="28"/>
          <w:lang w:val="ru-RU"/>
        </w:rPr>
        <w:t xml:space="preserve">Сутність, </w:t>
      </w:r>
      <w:proofErr w:type="gramStart"/>
      <w:r w:rsidRPr="00121F1E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121F1E">
        <w:rPr>
          <w:rFonts w:ascii="Times New Roman" w:hAnsi="Times New Roman"/>
          <w:i w:val="0"/>
          <w:sz w:val="28"/>
          <w:szCs w:val="28"/>
          <w:lang w:val="ru-RU"/>
        </w:rPr>
        <w:t xml:space="preserve">івні та форми самосвідомості. Індивідуальні та колективні форми самосвідомості.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Специфіка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національної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самосвідомості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>.</w:t>
      </w:r>
      <w:bookmarkEnd w:id="1"/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Суспільна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масова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індивідуальна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121F1E" w:rsidRPr="00121F1E" w:rsidRDefault="00121F1E" w:rsidP="00121F1E">
      <w:pPr>
        <w:pStyle w:val="ab"/>
        <w:numPr>
          <w:ilvl w:val="0"/>
          <w:numId w:val="1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Ідеологія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утопія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міфологічна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121F1E">
        <w:rPr>
          <w:rFonts w:ascii="Times New Roman" w:hAnsi="Times New Roman"/>
          <w:i w:val="0"/>
          <w:sz w:val="28"/>
          <w:szCs w:val="28"/>
        </w:rPr>
        <w:t>свідомість</w:t>
      </w:r>
      <w:proofErr w:type="spellEnd"/>
      <w:r w:rsidRPr="00121F1E">
        <w:rPr>
          <w:rFonts w:ascii="Times New Roman" w:hAnsi="Times New Roman"/>
          <w:i w:val="0"/>
          <w:sz w:val="28"/>
          <w:szCs w:val="28"/>
        </w:rPr>
        <w:t>.</w:t>
      </w:r>
    </w:p>
    <w:p w:rsidR="00121F1E" w:rsidRDefault="00121F1E" w:rsidP="00121F1E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:rsidR="0083404A" w:rsidRDefault="0083404A" w:rsidP="0083404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proofErr w:type="gramStart"/>
      <w:r w:rsidRPr="006B3753">
        <w:rPr>
          <w:b/>
          <w:color w:val="000000"/>
          <w:sz w:val="28"/>
          <w:szCs w:val="28"/>
          <w:lang w:eastAsia="uk-UA"/>
        </w:rPr>
        <w:t>л</w:t>
      </w:r>
      <w:proofErr w:type="gramEnd"/>
      <w:r w:rsidRPr="006B3753">
        <w:rPr>
          <w:b/>
          <w:color w:val="000000"/>
          <w:sz w:val="28"/>
          <w:szCs w:val="28"/>
          <w:lang w:eastAsia="uk-UA"/>
        </w:rPr>
        <w:t>ітература</w:t>
      </w:r>
      <w:proofErr w:type="spellEnd"/>
    </w:p>
    <w:p w:rsidR="0083404A" w:rsidRPr="00121F1E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1.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Воронюк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О. Л.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ВСВ "Медицина", 2013. 224 </w:t>
      </w:r>
      <w:proofErr w:type="gramStart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lastRenderedPageBreak/>
        <w:t>2.</w:t>
      </w:r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gramStart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>Горлач</w:t>
      </w:r>
      <w:proofErr w:type="gramEnd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М.І., Кремень В.Г., </w:t>
      </w:r>
      <w:proofErr w:type="spellStart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Ніколаєнко</w:t>
      </w:r>
      <w:proofErr w:type="spellEnd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С.М., </w:t>
      </w:r>
      <w:proofErr w:type="spellStart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>Требін</w:t>
      </w:r>
      <w:proofErr w:type="spellEnd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М.П. та </w:t>
      </w:r>
      <w:proofErr w:type="spellStart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ін</w:t>
      </w:r>
      <w:proofErr w:type="spellEnd"/>
      <w:r w:rsidRPr="00121F1E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Ф 56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Основи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філософських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знань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К.: Центр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учбової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літератури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2008. 1028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3.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Данильян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О. Г., 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Дзьобань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О. П.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2-ге вид.,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переробл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Право, 2019. 432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4.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Історія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філософії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[Текст] 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/ [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Ярошовець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В. І. та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ін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.] ; за ред. д-ра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наук, проф. В. І.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Ярошовця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;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нац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ун-т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ім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Тараса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Шевченка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Карпат. ун-т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ім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 Августина Волошина.  Ужгород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Патент, 2014. 839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5.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Литвинчук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О. В.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навчальний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2021. 403 с. </w:t>
      </w:r>
      <w:r w:rsidRPr="0083404A">
        <w:rPr>
          <w:rFonts w:ascii="Times New Roman" w:hAnsi="Times New Roman"/>
          <w:i w:val="0"/>
          <w:spacing w:val="-6"/>
          <w:sz w:val="28"/>
          <w:szCs w:val="28"/>
        </w:rPr>
        <w:t>http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://</w:t>
      </w:r>
      <w:r w:rsidRPr="0083404A">
        <w:rPr>
          <w:rFonts w:ascii="Times New Roman" w:hAnsi="Times New Roman"/>
          <w:i w:val="0"/>
          <w:spacing w:val="-6"/>
          <w:sz w:val="28"/>
          <w:szCs w:val="28"/>
        </w:rPr>
        <w:t>library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ztu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edu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ua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/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ftextslocal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/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Litvinchuk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pdf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6.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Петрушенко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В. Л.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– 5-е вид., стереотип.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Львів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Новий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Св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іт-2000, 2011. 504 с.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7.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Подольська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Є.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А.Філософія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К.: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Фірма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«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Інкос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», Центр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навчальної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літератури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2006. 704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8.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Св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ітайло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Л.Д., Мельничук М.С.,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Слюсар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В.М.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навчально-методичний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посібник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івне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Вид-во</w:t>
      </w:r>
      <w:proofErr w:type="spellEnd"/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НУВГП, 2012.  270 с.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9.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для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студентів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вищ.навч.закл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Л.В.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Губерський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В.П.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Андрущенко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А.О.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Баумайстер</w:t>
      </w:r>
      <w:proofErr w:type="spellEnd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, І.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С. Добронравова, В.В.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Ільїн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; за ред. Л. В.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Губернський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вид. 2-ге,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перероб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Фоліо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, 2018. 620 </w:t>
      </w:r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.</w:t>
      </w:r>
    </w:p>
    <w:p w:rsidR="0083404A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rFonts w:ascii="Times New Roman" w:hAnsi="Times New Roman"/>
          <w:i w:val="0"/>
          <w:spacing w:val="-6"/>
          <w:sz w:val="28"/>
          <w:szCs w:val="28"/>
          <w:lang w:val="ru-RU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10.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  <w:t xml:space="preserve">Щерба С. П.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[5-е вид.].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Кондор, 2011. 548 с.</w:t>
      </w:r>
    </w:p>
    <w:p w:rsidR="00F12C76" w:rsidRPr="0083404A" w:rsidRDefault="0083404A" w:rsidP="0083404A">
      <w:pPr>
        <w:pStyle w:val="ab"/>
        <w:autoSpaceDE w:val="0"/>
        <w:autoSpaceDN w:val="0"/>
        <w:spacing w:line="240" w:lineRule="auto"/>
        <w:ind w:left="142" w:firstLine="567"/>
        <w:rPr>
          <w:i w:val="0"/>
          <w:sz w:val="16"/>
          <w:szCs w:val="16"/>
          <w:lang w:val="uk-UA"/>
        </w:rPr>
      </w:pP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11.</w:t>
      </w:r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ab/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Черній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А. М.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іб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для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самост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роботи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  <w:lang w:val="ru-RU"/>
        </w:rPr>
        <w:t xml:space="preserve"> студ.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Київ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 xml:space="preserve">: </w:t>
      </w:r>
      <w:proofErr w:type="spellStart"/>
      <w:r w:rsidRPr="0083404A">
        <w:rPr>
          <w:rFonts w:ascii="Times New Roman" w:hAnsi="Times New Roman"/>
          <w:i w:val="0"/>
          <w:spacing w:val="-6"/>
          <w:sz w:val="28"/>
          <w:szCs w:val="28"/>
        </w:rPr>
        <w:t>Академвидав</w:t>
      </w:r>
      <w:proofErr w:type="spellEnd"/>
      <w:r w:rsidRPr="0083404A">
        <w:rPr>
          <w:rFonts w:ascii="Times New Roman" w:hAnsi="Times New Roman"/>
          <w:i w:val="0"/>
          <w:spacing w:val="-6"/>
          <w:sz w:val="28"/>
          <w:szCs w:val="28"/>
        </w:rPr>
        <w:t>, 2011.</w:t>
      </w:r>
    </w:p>
    <w:sectPr w:rsidR="00F12C76" w:rsidRPr="008340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55E"/>
    <w:multiLevelType w:val="hybridMultilevel"/>
    <w:tmpl w:val="975084E0"/>
    <w:lvl w:ilvl="0" w:tplc="C1569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404A"/>
    <w:rsid w:val="00121F1E"/>
    <w:rsid w:val="006C0B77"/>
    <w:rsid w:val="007945BF"/>
    <w:rsid w:val="008242FF"/>
    <w:rsid w:val="0083404A"/>
    <w:rsid w:val="00870751"/>
    <w:rsid w:val="008741C1"/>
    <w:rsid w:val="00922C48"/>
    <w:rsid w:val="00954899"/>
    <w:rsid w:val="00B915B7"/>
    <w:rsid w:val="00BC636F"/>
    <w:rsid w:val="00BE7FDE"/>
    <w:rsid w:val="00C17E90"/>
    <w:rsid w:val="00DB5C6A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4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adjustRightInd/>
      <w:spacing w:before="480" w:after="100" w:line="269" w:lineRule="auto"/>
      <w:contextualSpacing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widowControl/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adjustRightInd/>
      <w:spacing w:before="200" w:after="100" w:line="269" w:lineRule="auto"/>
      <w:ind w:left="144"/>
      <w:contextualSpacing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widowControl/>
      <w:pBdr>
        <w:left w:val="single" w:sz="48" w:space="2" w:color="ED7D31" w:themeColor="accent2"/>
        <w:bottom w:val="single" w:sz="4" w:space="0" w:color="ED7D31" w:themeColor="accent2"/>
      </w:pBdr>
      <w:adjustRightInd/>
      <w:spacing w:before="200" w:after="100" w:line="240" w:lineRule="auto"/>
      <w:ind w:left="144"/>
      <w:contextualSpacing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widowControl/>
      <w:pBdr>
        <w:left w:val="single" w:sz="4" w:space="2" w:color="ED7D31" w:themeColor="accent2"/>
        <w:bottom w:val="single" w:sz="4" w:space="2" w:color="ED7D31" w:themeColor="accent2"/>
      </w:pBdr>
      <w:adjustRightInd/>
      <w:spacing w:before="200" w:after="100" w:line="240" w:lineRule="auto"/>
      <w:ind w:left="86"/>
      <w:contextualSpacing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widowControl/>
      <w:pBdr>
        <w:left w:val="dotted" w:sz="4" w:space="2" w:color="ED7D31" w:themeColor="accent2"/>
        <w:bottom w:val="dotted" w:sz="4" w:space="2" w:color="ED7D31" w:themeColor="accent2"/>
      </w:pBdr>
      <w:adjustRightInd/>
      <w:spacing w:before="200" w:after="100" w:line="240" w:lineRule="auto"/>
      <w:ind w:left="86"/>
      <w:contextualSpacing/>
      <w:jc w:val="left"/>
      <w:textAlignment w:val="auto"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widowControl/>
      <w:pBdr>
        <w:bottom w:val="single" w:sz="4" w:space="2" w:color="F7CAAC" w:themeColor="accent2" w:themeTint="66"/>
      </w:pBdr>
      <w:adjustRightInd/>
      <w:spacing w:before="200" w:after="100" w:line="240" w:lineRule="auto"/>
      <w:contextualSpacing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widowControl/>
      <w:pBdr>
        <w:bottom w:val="dotted" w:sz="4" w:space="2" w:color="F4B083" w:themeColor="accent2" w:themeTint="99"/>
      </w:pBdr>
      <w:adjustRightInd/>
      <w:spacing w:before="200" w:after="100" w:line="240" w:lineRule="auto"/>
      <w:contextualSpacing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widowControl/>
      <w:adjustRightInd/>
      <w:spacing w:before="200" w:after="100" w:line="240" w:lineRule="auto"/>
      <w:contextualSpacing/>
      <w:jc w:val="left"/>
      <w:textAlignment w:val="auto"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widowControl/>
      <w:adjustRightInd/>
      <w:spacing w:before="200" w:after="100" w:line="240" w:lineRule="auto"/>
      <w:contextualSpacing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ED7D31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pPr>
      <w:widowControl/>
      <w:adjustRightInd/>
      <w:spacing w:after="200" w:line="288" w:lineRule="auto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C45911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widowControl/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adjustRightInd/>
      <w:spacing w:line="240" w:lineRule="auto"/>
      <w:jc w:val="center"/>
      <w:textAlignment w:val="auto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widowControl/>
      <w:pBdr>
        <w:bottom w:val="dotted" w:sz="8" w:space="10" w:color="ED7D31" w:themeColor="accent2"/>
      </w:pBdr>
      <w:adjustRightInd/>
      <w:spacing w:before="200" w:after="900" w:line="240" w:lineRule="auto"/>
      <w:jc w:val="center"/>
      <w:textAlignment w:val="auto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widowControl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954899"/>
    <w:pPr>
      <w:widowControl/>
      <w:adjustRightInd/>
      <w:spacing w:after="200" w:line="288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4899"/>
    <w:pPr>
      <w:widowControl/>
      <w:adjustRightInd/>
      <w:spacing w:after="200" w:line="288" w:lineRule="auto"/>
      <w:jc w:val="left"/>
      <w:textAlignment w:val="auto"/>
    </w:pPr>
    <w:rPr>
      <w:rFonts w:asciiTheme="minorHAnsi" w:eastAsiaTheme="minorHAnsi" w:hAnsiTheme="minorHAnsi" w:cstheme="minorBidi"/>
      <w:color w:val="C45911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widowControl/>
      <w:pBdr>
        <w:top w:val="dotted" w:sz="8" w:space="10" w:color="ED7D31" w:themeColor="accent2"/>
        <w:bottom w:val="dotted" w:sz="8" w:space="10" w:color="ED7D31" w:themeColor="accent2"/>
      </w:pBdr>
      <w:adjustRightInd/>
      <w:spacing w:after="200" w:line="300" w:lineRule="auto"/>
      <w:ind w:left="2160" w:right="2160"/>
      <w:jc w:val="center"/>
      <w:textAlignment w:val="auto"/>
    </w:pPr>
    <w:rPr>
      <w:rFonts w:asciiTheme="majorHAnsi" w:eastAsiaTheme="majorEastAsia" w:hAnsiTheme="majorHAnsi" w:cstheme="majorBidi"/>
      <w:b/>
      <w:bCs/>
      <w:i/>
      <w:iCs/>
      <w:color w:val="ED7D31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2024-04-03T21:01:00Z</dcterms:created>
  <dcterms:modified xsi:type="dcterms:W3CDTF">2024-04-03T21:01:00Z</dcterms:modified>
</cp:coreProperties>
</file>