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E79" w:rsidRPr="00877395" w:rsidRDefault="00503E79" w:rsidP="00503E79">
      <w:pPr>
        <w:tabs>
          <w:tab w:val="num" w:pos="720"/>
        </w:tabs>
        <w:spacing w:line="240" w:lineRule="auto"/>
        <w:ind w:left="720" w:hanging="360"/>
        <w:rPr>
          <w:b/>
          <w:bCs/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 xml:space="preserve">Тема 1. </w:t>
      </w:r>
      <w:r w:rsidRPr="00877395">
        <w:rPr>
          <w:sz w:val="28"/>
          <w:szCs w:val="28"/>
          <w:lang w:val="uk-UA"/>
        </w:rPr>
        <w:t>Основні поняття та категорійний апарат структурної лінгвістики.</w:t>
      </w:r>
    </w:p>
    <w:p w:rsidR="00503E79" w:rsidRPr="00877395" w:rsidRDefault="00503E79" w:rsidP="00503E79">
      <w:pPr>
        <w:tabs>
          <w:tab w:val="num" w:pos="720"/>
        </w:tabs>
        <w:spacing w:line="240" w:lineRule="auto"/>
        <w:ind w:left="720" w:hanging="360"/>
        <w:rPr>
          <w:sz w:val="28"/>
          <w:szCs w:val="28"/>
          <w:lang w:val="uk-UA"/>
        </w:rPr>
      </w:pPr>
    </w:p>
    <w:p w:rsidR="00503E79" w:rsidRPr="00877395" w:rsidRDefault="00503E79" w:rsidP="00503E79">
      <w:pPr>
        <w:widowControl/>
        <w:numPr>
          <w:ilvl w:val="0"/>
          <w:numId w:val="1"/>
        </w:numPr>
        <w:tabs>
          <w:tab w:val="clear" w:pos="360"/>
          <w:tab w:val="num" w:pos="720"/>
        </w:tabs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Поняття структурної лінгвістики.</w:t>
      </w:r>
    </w:p>
    <w:p w:rsidR="00503E79" w:rsidRPr="00877395" w:rsidRDefault="00503E79" w:rsidP="00503E79">
      <w:pPr>
        <w:widowControl/>
        <w:numPr>
          <w:ilvl w:val="0"/>
          <w:numId w:val="1"/>
        </w:numPr>
        <w:tabs>
          <w:tab w:val="clear" w:pos="360"/>
          <w:tab w:val="num" w:pos="720"/>
        </w:tabs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Об’єкт і предмет структурної лінгвістики. </w:t>
      </w:r>
    </w:p>
    <w:p w:rsidR="00503E79" w:rsidRPr="00877395" w:rsidRDefault="00503E79" w:rsidP="00503E79">
      <w:pPr>
        <w:widowControl/>
        <w:numPr>
          <w:ilvl w:val="0"/>
          <w:numId w:val="1"/>
        </w:numPr>
        <w:tabs>
          <w:tab w:val="clear" w:pos="360"/>
          <w:tab w:val="num" w:pos="720"/>
        </w:tabs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Система і структура мови. </w:t>
      </w:r>
    </w:p>
    <w:p w:rsidR="00503E79" w:rsidRPr="00877395" w:rsidRDefault="00503E79" w:rsidP="00503E79">
      <w:pPr>
        <w:widowControl/>
        <w:numPr>
          <w:ilvl w:val="0"/>
          <w:numId w:val="1"/>
        </w:numPr>
        <w:tabs>
          <w:tab w:val="clear" w:pos="360"/>
          <w:tab w:val="num" w:pos="720"/>
        </w:tabs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Категорійний апарат структурної лінгвістики. </w:t>
      </w:r>
    </w:p>
    <w:p w:rsidR="00503E79" w:rsidRPr="00877395" w:rsidRDefault="00503E79" w:rsidP="00503E79">
      <w:pPr>
        <w:widowControl/>
        <w:numPr>
          <w:ilvl w:val="0"/>
          <w:numId w:val="1"/>
        </w:numPr>
        <w:tabs>
          <w:tab w:val="clear" w:pos="360"/>
          <w:tab w:val="num" w:pos="720"/>
        </w:tabs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Ф. де Соссюр «Курс загальної лінгвістики» </w:t>
      </w:r>
    </w:p>
    <w:p w:rsidR="00503E79" w:rsidRPr="00877395" w:rsidRDefault="00503E79" w:rsidP="00503E79">
      <w:pPr>
        <w:widowControl/>
        <w:numPr>
          <w:ilvl w:val="0"/>
          <w:numId w:val="1"/>
        </w:numPr>
        <w:tabs>
          <w:tab w:val="clear" w:pos="360"/>
          <w:tab w:val="num" w:pos="720"/>
        </w:tabs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Мова і мовлення в концепції Ф. де Соссюра.</w:t>
      </w:r>
    </w:p>
    <w:p w:rsidR="00503E79" w:rsidRPr="00877395" w:rsidRDefault="00503E79" w:rsidP="00503E79">
      <w:pPr>
        <w:widowControl/>
        <w:adjustRightInd/>
        <w:spacing w:line="240" w:lineRule="auto"/>
        <w:ind w:left="360"/>
        <w:jc w:val="left"/>
        <w:textAlignment w:val="auto"/>
        <w:rPr>
          <w:sz w:val="28"/>
          <w:szCs w:val="28"/>
          <w:lang w:val="uk-UA"/>
        </w:rPr>
      </w:pPr>
    </w:p>
    <w:p w:rsidR="00503E79" w:rsidRPr="00877395" w:rsidRDefault="00503E79" w:rsidP="00503E79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:rsidR="00503E79" w:rsidRPr="00877395" w:rsidRDefault="00503E79" w:rsidP="00503E79">
      <w:pPr>
        <w:shd w:val="clear" w:color="auto" w:fill="FFFFFF"/>
        <w:spacing w:line="240" w:lineRule="auto"/>
        <w:jc w:val="center"/>
        <w:rPr>
          <w:b/>
          <w:color w:val="000000"/>
          <w:sz w:val="28"/>
          <w:szCs w:val="28"/>
          <w:lang w:val="uk-UA"/>
        </w:rPr>
      </w:pPr>
      <w:r w:rsidRPr="00877395">
        <w:rPr>
          <w:b/>
          <w:color w:val="000000"/>
          <w:sz w:val="28"/>
          <w:szCs w:val="28"/>
          <w:lang w:val="uk-UA"/>
        </w:rPr>
        <w:t xml:space="preserve">Завдання для самостійної роботи </w:t>
      </w:r>
    </w:p>
    <w:p w:rsidR="00503E79" w:rsidRPr="00877395" w:rsidRDefault="00503E79" w:rsidP="00503E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u w:val="single"/>
          <w:lang w:val="uk-UA"/>
        </w:rPr>
      </w:pPr>
      <w:r w:rsidRPr="00877395">
        <w:rPr>
          <w:color w:val="000000"/>
          <w:sz w:val="28"/>
          <w:szCs w:val="28"/>
          <w:u w:val="single"/>
          <w:lang w:val="uk-UA"/>
        </w:rPr>
        <w:t>Самостійна робота 1</w:t>
      </w:r>
    </w:p>
    <w:p w:rsidR="00503E79" w:rsidRPr="00877395" w:rsidRDefault="00503E79" w:rsidP="00503E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Перегляд та коментування відео «Ferdinand de Saussure and structural linguistics». </w:t>
      </w:r>
    </w:p>
    <w:p w:rsidR="00503E79" w:rsidRPr="00877395" w:rsidRDefault="00503E79" w:rsidP="00503E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Режим доступу: </w:t>
      </w:r>
      <w:hyperlink r:id="rId5">
        <w:r w:rsidRPr="00877395">
          <w:rPr>
            <w:color w:val="0000FF"/>
            <w:sz w:val="28"/>
            <w:szCs w:val="28"/>
            <w:u w:val="single"/>
            <w:lang w:val="uk-UA"/>
          </w:rPr>
          <w:t>https://www.youtube.com/watch?v=B5vhq3aRNjE&amp;ab_channel=BellaRoss</w:t>
        </w:r>
      </w:hyperlink>
      <w:r w:rsidRPr="00877395">
        <w:rPr>
          <w:color w:val="000000"/>
          <w:sz w:val="28"/>
          <w:szCs w:val="28"/>
          <w:lang w:val="uk-UA"/>
        </w:rPr>
        <w:t xml:space="preserve"> </w:t>
      </w:r>
    </w:p>
    <w:p w:rsidR="00503E79" w:rsidRPr="00877395" w:rsidRDefault="00503E79" w:rsidP="00503E79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:rsidR="00503E79" w:rsidRPr="00877395" w:rsidRDefault="00503E79" w:rsidP="00503E79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503E79" w:rsidRPr="00877395" w:rsidRDefault="00503E79" w:rsidP="00503E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503E79" w:rsidRPr="00877395" w:rsidRDefault="00503E79" w:rsidP="00503E79">
      <w:pPr>
        <w:widowControl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503E79" w:rsidRPr="00877395" w:rsidRDefault="00503E79" w:rsidP="00503E79">
      <w:pPr>
        <w:widowControl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503E79" w:rsidRPr="00877395" w:rsidRDefault="00503E79" w:rsidP="00503E79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lastRenderedPageBreak/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Hawkes T. (2003). Structuralism and Semiotics. Routledge.</w:t>
      </w:r>
    </w:p>
    <w:p w:rsidR="00503E79" w:rsidRPr="00877395" w:rsidRDefault="00503E79" w:rsidP="00503E79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Stankiewicz E. (2019). Baudouin de Courtenau. Anthology. The beginnings of structural linguistics. Indiana University Press.</w:t>
      </w:r>
    </w:p>
    <w:p w:rsidR="00503E79" w:rsidRPr="00877395" w:rsidRDefault="00503E79" w:rsidP="00503E79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2CB8"/>
    <w:multiLevelType w:val="hybridMultilevel"/>
    <w:tmpl w:val="7068A8F0"/>
    <w:lvl w:ilvl="0" w:tplc="7A989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AB6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90C3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7C8D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2E38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A200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3658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085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FFE40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42706763">
    <w:abstractNumId w:val="2"/>
  </w:num>
  <w:num w:numId="2" w16cid:durableId="434643208">
    <w:abstractNumId w:val="1"/>
  </w:num>
  <w:num w:numId="3" w16cid:durableId="18349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79"/>
    <w:rsid w:val="00503E79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B5C933E-3B69-074B-A3FA-554E0D4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7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5vhq3aRNjE&amp;ab_channel=BellaR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2024-03-12T08:39:00Z</dcterms:created>
  <dcterms:modified xsi:type="dcterms:W3CDTF">2024-03-12T08:39:00Z</dcterms:modified>
</cp:coreProperties>
</file>