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Style w:val="a4"/>
          <w:sz w:val="28"/>
          <w:szCs w:val="28"/>
          <w:lang w:val="uk-UA"/>
        </w:rPr>
      </w:pPr>
      <w:r w:rsidRPr="00227BC3">
        <w:rPr>
          <w:rStyle w:val="a4"/>
          <w:sz w:val="28"/>
          <w:szCs w:val="28"/>
          <w:lang w:val="uk-UA"/>
        </w:rPr>
        <w:t>ТЕМА 4. </w:t>
      </w:r>
      <w:hyperlink r:id="rId4" w:tooltip="ФУНКЦІОНАЛЬНА ОРГАНІЗАЦІЯ ПРИМІЩЕНЬ ПІДПРИЄМСТВА ГОТЕЛЬНОГО ГОСПОДАРСТВА" w:history="1">
        <w:r w:rsidRPr="00227BC3">
          <w:rPr>
            <w:rStyle w:val="a5"/>
            <w:b/>
            <w:bCs/>
            <w:color w:val="auto"/>
            <w:sz w:val="28"/>
            <w:szCs w:val="28"/>
            <w:u w:val="none"/>
            <w:lang w:val="uk-UA"/>
          </w:rPr>
          <w:t>ФУНКЦІОНАЛЬНА ОРГАНІЗАЦІЯ ПРИМІЩЕНЬ ПІДПРИЄМСТВА ГОТЕЛЬНОГО ГОСПОДАРСТВА</w:t>
        </w:r>
      </w:hyperlink>
      <w:r w:rsidR="00A57E24" w:rsidRPr="00227BC3">
        <w:rPr>
          <w:rStyle w:val="a4"/>
          <w:sz w:val="28"/>
          <w:szCs w:val="28"/>
          <w:lang w:val="uk-UA"/>
        </w:rPr>
        <w:t>.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z w:val="28"/>
          <w:szCs w:val="28"/>
          <w:lang w:val="uk-UA"/>
        </w:rPr>
      </w:pP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b/>
          <w:bCs/>
          <w:sz w:val="28"/>
          <w:szCs w:val="28"/>
          <w:lang w:val="uk-UA"/>
        </w:rPr>
        <w:t>Мета заняття:</w:t>
      </w:r>
      <w:r w:rsidRPr="00227BC3">
        <w:rPr>
          <w:sz w:val="28"/>
          <w:szCs w:val="28"/>
          <w:lang w:val="uk-UA"/>
        </w:rPr>
        <w:t> Усвідомити, що сучасні підприємства готельного господарства становлять складний комплексний об’єкт, до якого входить велика кількість приміщень різного функціонального призначення.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b/>
          <w:bCs/>
          <w:sz w:val="28"/>
          <w:szCs w:val="28"/>
          <w:lang w:val="uk-UA"/>
        </w:rPr>
        <w:t>План роботи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sz w:val="28"/>
          <w:szCs w:val="28"/>
          <w:lang w:val="uk-UA"/>
        </w:rPr>
        <w:t>1.</w:t>
      </w:r>
      <w:r w:rsidRPr="00227BC3">
        <w:rPr>
          <w:b/>
          <w:bCs/>
          <w:sz w:val="28"/>
          <w:szCs w:val="28"/>
          <w:lang w:val="uk-UA"/>
        </w:rPr>
        <w:t> </w:t>
      </w:r>
      <w:r w:rsidRPr="00227BC3">
        <w:rPr>
          <w:sz w:val="28"/>
          <w:szCs w:val="28"/>
          <w:lang w:val="uk-UA"/>
        </w:rPr>
        <w:t>Основне при</w:t>
      </w:r>
      <w:r w:rsidR="00227BC3">
        <w:rPr>
          <w:sz w:val="28"/>
          <w:szCs w:val="28"/>
          <w:lang w:val="uk-UA"/>
        </w:rPr>
        <w:t>з</w:t>
      </w:r>
      <w:r w:rsidRPr="00227BC3">
        <w:rPr>
          <w:sz w:val="28"/>
          <w:szCs w:val="28"/>
          <w:lang w:val="uk-UA"/>
        </w:rPr>
        <w:t>начення приміщень готельного господарства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sz w:val="28"/>
          <w:szCs w:val="28"/>
          <w:lang w:val="uk-UA"/>
        </w:rPr>
        <w:t>2. Склад і кількість приміщень готельного господарства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sz w:val="28"/>
          <w:szCs w:val="28"/>
          <w:lang w:val="uk-UA"/>
        </w:rPr>
        <w:t>3. Склад приміщень залежно від груп та їх основне призначення/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sz w:val="28"/>
          <w:szCs w:val="28"/>
          <w:lang w:val="uk-UA"/>
        </w:rPr>
        <w:t>4. Організація приміщень адміністрації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sz w:val="28"/>
          <w:szCs w:val="28"/>
          <w:lang w:val="uk-UA"/>
        </w:rPr>
        <w:t>5. Організація приміщень вестибюльної групи.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sz w:val="28"/>
          <w:szCs w:val="28"/>
          <w:lang w:val="uk-UA"/>
        </w:rPr>
        <w:t>6. Організація приміщень господарського і складського  призначення.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sz w:val="28"/>
          <w:szCs w:val="28"/>
          <w:lang w:val="uk-UA"/>
        </w:rPr>
        <w:t>7. Організація приміщень куль</w:t>
      </w:r>
      <w:hyperlink r:id="rId5" w:tooltip="Словник термінів: Тур" w:history="1">
        <w:r w:rsidRPr="00227BC3">
          <w:rPr>
            <w:rStyle w:val="a5"/>
            <w:color w:val="auto"/>
            <w:sz w:val="28"/>
            <w:szCs w:val="28"/>
            <w:u w:val="none"/>
            <w:lang w:val="uk-UA"/>
          </w:rPr>
          <w:t>тур</w:t>
        </w:r>
      </w:hyperlink>
      <w:r w:rsidRPr="00227BC3">
        <w:rPr>
          <w:sz w:val="28"/>
          <w:szCs w:val="28"/>
          <w:lang w:val="uk-UA"/>
        </w:rPr>
        <w:t>но-масового призначення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sz w:val="28"/>
          <w:szCs w:val="28"/>
          <w:lang w:val="uk-UA"/>
        </w:rPr>
        <w:t>8. Організація приміщень спортивно-рекреаційного обслуговування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rStyle w:val="a4"/>
          <w:sz w:val="28"/>
          <w:szCs w:val="28"/>
          <w:lang w:val="uk-UA"/>
        </w:rPr>
        <w:t>Хід роботи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sz w:val="28"/>
          <w:szCs w:val="28"/>
          <w:lang w:val="uk-UA"/>
        </w:rPr>
        <w:t>Розпочинаючи вивчення теми, слід усвідомити, що сучасні підприємства готельного господарства становлять складний комплексний об’єкт, до якого входить велика кількість приміщень різного функціонального призначення. Склад і кількість приміщень будь-якого засобу розміщення залежить від його типу і місткості.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sz w:val="28"/>
          <w:szCs w:val="28"/>
          <w:lang w:val="uk-UA"/>
        </w:rPr>
        <w:t>Під мас вивчення теми потрібно звернути увагу на ґрунтовне вивчення схем функціональної організації приміщень. а саме: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sz w:val="28"/>
          <w:szCs w:val="28"/>
          <w:lang w:val="uk-UA"/>
        </w:rPr>
        <w:t>-     приміщення житлової групи;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sz w:val="28"/>
          <w:szCs w:val="28"/>
          <w:lang w:val="uk-UA"/>
        </w:rPr>
        <w:t>-     приміщення адміністративної групи;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sz w:val="28"/>
          <w:szCs w:val="28"/>
          <w:lang w:val="uk-UA"/>
        </w:rPr>
        <w:t xml:space="preserve">-     приміщення </w:t>
      </w:r>
      <w:proofErr w:type="spellStart"/>
      <w:r w:rsidRPr="00227BC3">
        <w:rPr>
          <w:sz w:val="28"/>
          <w:szCs w:val="28"/>
          <w:lang w:val="uk-UA"/>
        </w:rPr>
        <w:t>вестибульної</w:t>
      </w:r>
      <w:proofErr w:type="spellEnd"/>
      <w:r w:rsidRPr="00227BC3">
        <w:rPr>
          <w:sz w:val="28"/>
          <w:szCs w:val="28"/>
          <w:lang w:val="uk-UA"/>
        </w:rPr>
        <w:t xml:space="preserve"> групи;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sz w:val="28"/>
          <w:szCs w:val="28"/>
          <w:lang w:val="uk-UA"/>
        </w:rPr>
        <w:t>-     приміщення ресторанного господарства;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sz w:val="28"/>
          <w:szCs w:val="28"/>
          <w:lang w:val="uk-UA"/>
        </w:rPr>
        <w:t>-     приміщення господарського і складського призначення;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sz w:val="28"/>
          <w:szCs w:val="28"/>
          <w:lang w:val="uk-UA"/>
        </w:rPr>
        <w:t>-     приміщення куль</w:t>
      </w:r>
      <w:hyperlink r:id="rId6" w:tooltip="Словник термінів: Тур" w:history="1">
        <w:r w:rsidRPr="00227BC3">
          <w:rPr>
            <w:rStyle w:val="a5"/>
            <w:color w:val="auto"/>
            <w:sz w:val="28"/>
            <w:szCs w:val="28"/>
            <w:u w:val="none"/>
            <w:lang w:val="uk-UA"/>
          </w:rPr>
          <w:t>тур</w:t>
        </w:r>
      </w:hyperlink>
      <w:r w:rsidRPr="00227BC3">
        <w:rPr>
          <w:sz w:val="28"/>
          <w:szCs w:val="28"/>
          <w:lang w:val="uk-UA"/>
        </w:rPr>
        <w:t>но-масового з а спортивно-рекреаційного обслуговування.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sz w:val="28"/>
          <w:szCs w:val="28"/>
          <w:lang w:val="uk-UA"/>
        </w:rPr>
        <w:t>До нежитлової групи приміщень готелю відносять: приміщення вестибюльної групи, адміністрації, приміщення і підприємства побутового обслуговування, приміщення культурно-масового та спортивно-рекреаційного обслуговування.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sz w:val="28"/>
          <w:szCs w:val="28"/>
          <w:lang w:val="uk-UA"/>
        </w:rPr>
        <w:t xml:space="preserve">Організація приміщень вестибюльної групи. Приміщення вестибюльної групи це головний комунікаційний і технологічний вузол готельного господарства. Під час ознайомлення з цією групою приміщень потрібно знати їх основні функції, зонування. У вестибюлі готелю рекомендовано виділяти вхідну зону, зони прийому (реєстрації і оформлення документів), очікування, відпочинку та збору організованих груп, розташування автоматів, </w:t>
      </w:r>
      <w:proofErr w:type="spellStart"/>
      <w:r w:rsidRPr="00227BC3">
        <w:rPr>
          <w:sz w:val="28"/>
          <w:szCs w:val="28"/>
          <w:lang w:val="uk-UA"/>
        </w:rPr>
        <w:t>банкоматів</w:t>
      </w:r>
      <w:proofErr w:type="spellEnd"/>
      <w:r w:rsidRPr="00227BC3">
        <w:rPr>
          <w:sz w:val="28"/>
          <w:szCs w:val="28"/>
          <w:lang w:val="uk-UA"/>
        </w:rPr>
        <w:t>, торговельних кіосків, входу до закладів ресторанного господарства, комунікаційну зону. Вивчення теми передбачає знання з організації і обладнання приміщень вестибюльної групи.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sz w:val="28"/>
          <w:szCs w:val="28"/>
          <w:lang w:val="uk-UA"/>
        </w:rPr>
        <w:lastRenderedPageBreak/>
        <w:t>Організація адміністративних приміщень. Під час ознайомлення з цією групою приміщень студенти повинні усвідомити, що їх наявність залежить від місткості та категорії готелю. Ці приміщення мають в наявності сучасне обладнання для проведення нарад, зборів, неофіційних прийомів, експозицій тощо.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sz w:val="28"/>
          <w:szCs w:val="28"/>
          <w:lang w:val="uk-UA"/>
        </w:rPr>
        <w:t>До приміщень і підприємств побутового обслуговування мешканців готелю відносять: перукарні, пункти прокату предметів культурно-побутового призначення, пункти дрібного ремонту речей, приймальні пункти хімчистки і прання білизни, приміщення прання білизни за методом самообслуговування, медичний пункт та інші приміщення.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sz w:val="28"/>
          <w:szCs w:val="28"/>
          <w:lang w:val="uk-UA"/>
        </w:rPr>
        <w:t>Склад приміщень культурно-масового обслуговування: універсальні зали і конференц-зали; танцювальні зали І диско-клуби; бібліотеки; більярдні; казино; кегельбани; зали ігрових автоматів; демонстраційні зали; </w:t>
      </w:r>
      <w:hyperlink r:id="rId7" w:tooltip="Словник термінів: Турист" w:history="1">
        <w:r w:rsidRPr="00227BC3">
          <w:rPr>
            <w:rStyle w:val="a5"/>
            <w:color w:val="auto"/>
            <w:sz w:val="28"/>
            <w:szCs w:val="28"/>
            <w:u w:val="none"/>
            <w:lang w:val="uk-UA"/>
          </w:rPr>
          <w:t>турист</w:t>
        </w:r>
      </w:hyperlink>
      <w:r w:rsidRPr="00227BC3">
        <w:rPr>
          <w:sz w:val="28"/>
          <w:szCs w:val="28"/>
          <w:lang w:val="uk-UA"/>
        </w:rPr>
        <w:t>ичні клуби; відеосалони та Інші приміщення, що реалізують функції відпочинку мешканців готельного господарства. Під час вивчення теми слід зосередити увагу на організації та обладнанні приміщень культурно-масового призначення. Студентам слід засвоїти що приміщення спортивно-рекреаційного обслуговування можуть бути як в межах будівлі готельного господарства так і на прилеглій до нього території.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sz w:val="28"/>
          <w:szCs w:val="28"/>
          <w:lang w:val="uk-UA"/>
        </w:rPr>
        <w:t>Склад приміщень спортивно-рекреаційного призначення: приміщень для проведення спортивних ігор, тренувань, басейни з можливістю тренувального і оздоровчого плавання, приміщення сауни, тренажерні зали та інше.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sz w:val="28"/>
          <w:szCs w:val="28"/>
          <w:lang w:val="uk-UA"/>
        </w:rPr>
        <w:t>Важливо засвоїти загальні вимоги до створення зелених зон відпочинку, майданчиків для спортивно-оздоровчих занять на повітрі.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sz w:val="28"/>
          <w:szCs w:val="28"/>
          <w:lang w:val="uk-UA"/>
        </w:rPr>
        <w:t> </w:t>
      </w:r>
      <w:r w:rsidRPr="00227BC3">
        <w:rPr>
          <w:b/>
          <w:bCs/>
          <w:sz w:val="28"/>
          <w:szCs w:val="28"/>
          <w:lang w:val="uk-UA"/>
        </w:rPr>
        <w:t>Рекомендовані джерела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i/>
          <w:iCs/>
          <w:sz w:val="28"/>
          <w:szCs w:val="28"/>
          <w:lang w:val="uk-UA"/>
        </w:rPr>
        <w:t>Основна література: 1, 2, 13, 19, 20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i/>
          <w:iCs/>
          <w:sz w:val="28"/>
          <w:szCs w:val="28"/>
          <w:lang w:val="uk-UA"/>
        </w:rPr>
        <w:t>Додаткова література : 22, 23, 27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iCs/>
          <w:sz w:val="28"/>
          <w:szCs w:val="28"/>
          <w:lang w:val="uk-UA"/>
        </w:rPr>
      </w:pPr>
      <w:proofErr w:type="spellStart"/>
      <w:r w:rsidRPr="00227BC3">
        <w:rPr>
          <w:i/>
          <w:iCs/>
          <w:sz w:val="28"/>
          <w:szCs w:val="28"/>
          <w:lang w:val="uk-UA"/>
        </w:rPr>
        <w:t>Internet</w:t>
      </w:r>
      <w:proofErr w:type="spellEnd"/>
      <w:r w:rsidRPr="00227BC3">
        <w:rPr>
          <w:i/>
          <w:iCs/>
          <w:sz w:val="28"/>
          <w:szCs w:val="28"/>
          <w:lang w:val="uk-UA"/>
        </w:rPr>
        <w:t>-ресурси: 36, 37,38, 39, 40, 41, 42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rStyle w:val="a4"/>
          <w:sz w:val="28"/>
          <w:szCs w:val="28"/>
          <w:lang w:val="uk-UA"/>
        </w:rPr>
        <w:t>Завдання для студентів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b/>
          <w:i/>
          <w:sz w:val="28"/>
          <w:szCs w:val="28"/>
          <w:lang w:val="uk-UA"/>
        </w:rPr>
        <w:t>Задача 1.</w:t>
      </w:r>
      <w:r w:rsidRPr="00227BC3">
        <w:rPr>
          <w:sz w:val="28"/>
          <w:szCs w:val="28"/>
          <w:lang w:val="uk-UA"/>
        </w:rPr>
        <w:t xml:space="preserve"> На основі прикладів, зображених на рисунках 19–22</w:t>
      </w:r>
      <w:r w:rsidR="00A57E24" w:rsidRPr="00227BC3">
        <w:rPr>
          <w:sz w:val="28"/>
          <w:szCs w:val="28"/>
          <w:lang w:val="uk-UA"/>
        </w:rPr>
        <w:t xml:space="preserve"> (у лекції)</w:t>
      </w:r>
      <w:r w:rsidRPr="00227BC3">
        <w:rPr>
          <w:sz w:val="28"/>
          <w:szCs w:val="28"/>
          <w:lang w:val="uk-UA"/>
        </w:rPr>
        <w:t xml:space="preserve"> здійсніть функціональне планування приміщень готелів різних типів. Накресліть схеми функціональної структури готелів таких типів: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sz w:val="28"/>
          <w:szCs w:val="28"/>
          <w:lang w:val="uk-UA"/>
        </w:rPr>
        <w:t xml:space="preserve">- </w:t>
      </w:r>
      <w:hyperlink r:id="rId8" w:tooltip="Словник термінів: Турист" w:history="1">
        <w:r w:rsidRPr="00227BC3">
          <w:rPr>
            <w:rStyle w:val="a5"/>
            <w:bCs/>
            <w:color w:val="auto"/>
            <w:sz w:val="28"/>
            <w:szCs w:val="28"/>
            <w:u w:val="none"/>
            <w:lang w:val="uk-UA"/>
          </w:rPr>
          <w:t>турист</w:t>
        </w:r>
      </w:hyperlink>
      <w:r w:rsidRPr="00227BC3">
        <w:rPr>
          <w:sz w:val="28"/>
          <w:szCs w:val="28"/>
          <w:lang w:val="uk-UA"/>
        </w:rPr>
        <w:t>ський;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sz w:val="28"/>
          <w:szCs w:val="28"/>
          <w:lang w:val="uk-UA"/>
        </w:rPr>
        <w:t xml:space="preserve">- </w:t>
      </w:r>
      <w:proofErr w:type="spellStart"/>
      <w:r w:rsidRPr="00227BC3">
        <w:rPr>
          <w:sz w:val="28"/>
          <w:szCs w:val="28"/>
          <w:lang w:val="uk-UA"/>
        </w:rPr>
        <w:t>туристсько</w:t>
      </w:r>
      <w:proofErr w:type="spellEnd"/>
      <w:r w:rsidRPr="00227BC3">
        <w:rPr>
          <w:sz w:val="28"/>
          <w:szCs w:val="28"/>
          <w:lang w:val="uk-UA"/>
        </w:rPr>
        <w:t>-спортивний;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sz w:val="28"/>
          <w:szCs w:val="28"/>
          <w:lang w:val="uk-UA"/>
        </w:rPr>
        <w:t>- готель-казино;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sz w:val="28"/>
          <w:szCs w:val="28"/>
          <w:lang w:val="uk-UA"/>
        </w:rPr>
        <w:t xml:space="preserve">- готель-клуб; 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sz w:val="28"/>
          <w:szCs w:val="28"/>
          <w:lang w:val="uk-UA"/>
        </w:rPr>
        <w:t>- бізнес-готель.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</w:p>
    <w:p w:rsidR="00227BC3" w:rsidRDefault="00227BC3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  <w:lang w:val="uk-UA"/>
        </w:rPr>
      </w:pPr>
    </w:p>
    <w:p w:rsidR="00227BC3" w:rsidRDefault="00227BC3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  <w:lang w:val="uk-UA"/>
        </w:rPr>
      </w:pPr>
    </w:p>
    <w:p w:rsidR="00227BC3" w:rsidRDefault="00227BC3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  <w:lang w:val="uk-UA"/>
        </w:rPr>
      </w:pPr>
    </w:p>
    <w:p w:rsidR="00227BC3" w:rsidRDefault="00227BC3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  <w:lang w:val="uk-UA"/>
        </w:rPr>
      </w:pP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  <w:lang w:val="uk-UA"/>
        </w:rPr>
      </w:pPr>
      <w:r w:rsidRPr="00227BC3">
        <w:rPr>
          <w:b/>
          <w:sz w:val="28"/>
          <w:szCs w:val="28"/>
          <w:lang w:val="uk-UA"/>
        </w:rPr>
        <w:lastRenderedPageBreak/>
        <w:t>Тестові завдання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i/>
          <w:iCs/>
          <w:sz w:val="28"/>
          <w:szCs w:val="28"/>
          <w:lang w:val="uk-UA"/>
        </w:rPr>
        <w:t>1.     У вестибюлі витримується чітке зонування, яке зводить до мінімуму перетин всіх потоків. Тут передбачені такі основні зони: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sz w:val="28"/>
          <w:szCs w:val="28"/>
          <w:lang w:val="uk-UA"/>
        </w:rPr>
        <w:t>а) зона руху туристів;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sz w:val="28"/>
          <w:szCs w:val="28"/>
          <w:lang w:val="uk-UA"/>
        </w:rPr>
        <w:t>б) зона інтенсивного пішого руху;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sz w:val="28"/>
          <w:szCs w:val="28"/>
          <w:lang w:val="uk-UA"/>
        </w:rPr>
        <w:t>в) транспортна зона;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sz w:val="28"/>
          <w:szCs w:val="28"/>
          <w:lang w:val="uk-UA"/>
        </w:rPr>
        <w:t>г) зона екстенсивного пішого руху;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sz w:val="28"/>
          <w:szCs w:val="28"/>
          <w:lang w:val="uk-UA"/>
        </w:rPr>
        <w:t>д) допоміжна зона;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sz w:val="28"/>
          <w:szCs w:val="28"/>
          <w:lang w:val="uk-UA"/>
        </w:rPr>
        <w:t>е) зона руху персоналу;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sz w:val="28"/>
          <w:szCs w:val="28"/>
          <w:lang w:val="uk-UA"/>
        </w:rPr>
        <w:t>є) рекреаційна зона.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i/>
          <w:iCs/>
          <w:sz w:val="28"/>
          <w:szCs w:val="28"/>
          <w:lang w:val="uk-UA"/>
        </w:rPr>
        <w:t>2.  Розміщення функціональних зон у вестибюлі може бути</w:t>
      </w:r>
      <w:r w:rsidRPr="00227BC3">
        <w:rPr>
          <w:sz w:val="28"/>
          <w:szCs w:val="28"/>
          <w:lang w:val="uk-UA"/>
        </w:rPr>
        <w:t>: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sz w:val="28"/>
          <w:szCs w:val="28"/>
          <w:lang w:val="uk-UA"/>
        </w:rPr>
        <w:t>а) фронтальним;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sz w:val="28"/>
          <w:szCs w:val="28"/>
          <w:lang w:val="uk-UA"/>
        </w:rPr>
        <w:t>б) поперечним;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sz w:val="28"/>
          <w:szCs w:val="28"/>
          <w:lang w:val="uk-UA"/>
        </w:rPr>
        <w:t>в) поздовжнім;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sz w:val="28"/>
          <w:szCs w:val="28"/>
          <w:lang w:val="uk-UA"/>
        </w:rPr>
        <w:t>г) концентричним;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sz w:val="28"/>
          <w:szCs w:val="28"/>
          <w:lang w:val="uk-UA"/>
        </w:rPr>
        <w:t>д) перпендикулярним.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i/>
          <w:iCs/>
          <w:sz w:val="28"/>
          <w:szCs w:val="28"/>
          <w:lang w:val="uk-UA"/>
        </w:rPr>
        <w:t>3.  Зона інтенсивного пішого руху у вестибюлі охоплює…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sz w:val="28"/>
          <w:szCs w:val="28"/>
          <w:lang w:val="uk-UA"/>
        </w:rPr>
        <w:t>а) піші підходи до допоміжних приміщень, гардероба, торгових кіосків, телефонів-автоматів і групи прийому;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sz w:val="28"/>
          <w:szCs w:val="28"/>
          <w:lang w:val="uk-UA"/>
        </w:rPr>
        <w:t>б) маршрут </w:t>
      </w:r>
      <w:hyperlink r:id="rId9" w:tooltip="Словник термінів: Транзит" w:history="1">
        <w:r w:rsidRPr="00227BC3">
          <w:rPr>
            <w:rStyle w:val="a5"/>
            <w:color w:val="auto"/>
            <w:sz w:val="28"/>
            <w:szCs w:val="28"/>
            <w:u w:val="none"/>
            <w:lang w:val="uk-UA"/>
          </w:rPr>
          <w:t>транзит</w:t>
        </w:r>
      </w:hyperlink>
      <w:r w:rsidRPr="00227BC3">
        <w:rPr>
          <w:sz w:val="28"/>
          <w:szCs w:val="28"/>
          <w:lang w:val="uk-UA"/>
        </w:rPr>
        <w:t>ного руху до ліфтів і сходів;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sz w:val="28"/>
          <w:szCs w:val="28"/>
          <w:lang w:val="uk-UA"/>
        </w:rPr>
        <w:t>в) відділ зв’язку, ощадну касу, транспортну агенцію, перукарню, пункти прийому речей на ремонт, хімчистку і в пральню, в камеру схову;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sz w:val="28"/>
          <w:szCs w:val="28"/>
          <w:lang w:val="uk-UA"/>
        </w:rPr>
        <w:t>г) маршрут руху до закладів харчування та побутового обслуговування.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i/>
          <w:iCs/>
          <w:sz w:val="28"/>
          <w:szCs w:val="28"/>
          <w:lang w:val="uk-UA"/>
        </w:rPr>
        <w:t>5.  Зона екстенсивного пішого руху у вестибюлі охоплює…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sz w:val="28"/>
          <w:szCs w:val="28"/>
          <w:lang w:val="uk-UA"/>
        </w:rPr>
        <w:t>а) піші підходи до допоміжних приміщень, гардероба, торгових кіосків, телефонів-автоматів і групи прийому;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sz w:val="28"/>
          <w:szCs w:val="28"/>
          <w:lang w:val="uk-UA"/>
        </w:rPr>
        <w:t>б) маршрут транзитного руху до ліфтів і сходів;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sz w:val="28"/>
          <w:szCs w:val="28"/>
          <w:lang w:val="uk-UA"/>
        </w:rPr>
        <w:t>в) відділ зв’язку, ощадну касу, транспортну агенцію, перукарню, пункти прийому речей на ремонт, хімчистку і пральню, в камеру схову;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sz w:val="28"/>
          <w:szCs w:val="28"/>
          <w:lang w:val="uk-UA"/>
        </w:rPr>
        <w:t>г) маршрут руху до закладів харчування та побутового обслуговування.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i/>
          <w:iCs/>
          <w:sz w:val="28"/>
          <w:szCs w:val="28"/>
          <w:lang w:val="uk-UA"/>
        </w:rPr>
        <w:t>6.  Ширина коридорів формує перше враження клієнта про готель, а тому…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sz w:val="28"/>
          <w:szCs w:val="28"/>
          <w:lang w:val="uk-UA"/>
        </w:rPr>
        <w:t>а) розраховується так, щоб у ньому могли легко розминутися дві людини з валізами в руках;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sz w:val="28"/>
          <w:szCs w:val="28"/>
          <w:lang w:val="uk-UA"/>
        </w:rPr>
        <w:t>б) розраховується так, щоб у ньому могли розминутися дві покоївки з візками;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sz w:val="28"/>
          <w:szCs w:val="28"/>
          <w:lang w:val="uk-UA"/>
        </w:rPr>
        <w:t>в) ширина одностороннього коридору повинна становити не менше 1,3–1,4 м, а двостороннього – 1,6–2,0 м (якщо двері відчиняються всередину номера);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sz w:val="28"/>
          <w:szCs w:val="28"/>
          <w:lang w:val="uk-UA"/>
        </w:rPr>
        <w:t>г)   ширина  одностороннього  коридору  повинна  становити   1,5–2,0  м,   а двостороннього – 2,0–2,5 м (якщо двері відчиняються всередину номера).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i/>
          <w:iCs/>
          <w:sz w:val="28"/>
          <w:szCs w:val="28"/>
          <w:lang w:val="uk-UA"/>
        </w:rPr>
        <w:t>7.   До блоку приміщень адміністрації відносять: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sz w:val="28"/>
          <w:szCs w:val="28"/>
          <w:lang w:val="uk-UA"/>
        </w:rPr>
        <w:t>а) приміщення дирекції;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sz w:val="28"/>
          <w:szCs w:val="28"/>
          <w:lang w:val="uk-UA"/>
        </w:rPr>
        <w:lastRenderedPageBreak/>
        <w:t>б) приміщення інженерно-технічного персоналу; в) приміщення планово-економічного відділу;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sz w:val="28"/>
          <w:szCs w:val="28"/>
          <w:lang w:val="uk-UA"/>
        </w:rPr>
        <w:t>г) приміщення прийому і розміщення споживачів; д) приміщення бухгалтерії і каси;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sz w:val="28"/>
          <w:szCs w:val="28"/>
          <w:lang w:val="uk-UA"/>
        </w:rPr>
        <w:t>е) приміщення обслуговуючого персоналу; є) приміщення відділу кадрів.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i/>
          <w:iCs/>
          <w:sz w:val="28"/>
          <w:szCs w:val="28"/>
          <w:lang w:val="uk-UA"/>
        </w:rPr>
        <w:t>8.  Блок приміщень культурно-масового обслуговування передбачається…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sz w:val="28"/>
          <w:szCs w:val="28"/>
          <w:lang w:val="uk-UA"/>
        </w:rPr>
        <w:t>а) в туристичних і курортних готелях; б) в готелях ділового призначення;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sz w:val="28"/>
          <w:szCs w:val="28"/>
          <w:lang w:val="uk-UA"/>
        </w:rPr>
        <w:t>в) в спеціалізованих готелях;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sz w:val="28"/>
          <w:szCs w:val="28"/>
          <w:lang w:val="uk-UA"/>
        </w:rPr>
        <w:t>г) у готелях для постійного проживання; д) у транзитних готелях.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i/>
          <w:iCs/>
          <w:sz w:val="28"/>
          <w:szCs w:val="28"/>
          <w:lang w:val="uk-UA"/>
        </w:rPr>
        <w:t>9. Місткість гардеробу розраховується з розрахунку обслуговування: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sz w:val="28"/>
          <w:szCs w:val="28"/>
          <w:lang w:val="uk-UA"/>
        </w:rPr>
        <w:t xml:space="preserve">а) до 15% споживачів готельних </w:t>
      </w:r>
      <w:proofErr w:type="spellStart"/>
      <w:r w:rsidRPr="00227BC3">
        <w:rPr>
          <w:sz w:val="28"/>
          <w:szCs w:val="28"/>
          <w:lang w:val="uk-UA"/>
        </w:rPr>
        <w:t>полуг</w:t>
      </w:r>
      <w:proofErr w:type="spellEnd"/>
      <w:r w:rsidRPr="00227BC3">
        <w:rPr>
          <w:sz w:val="28"/>
          <w:szCs w:val="28"/>
          <w:lang w:val="uk-UA"/>
        </w:rPr>
        <w:t>;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sz w:val="28"/>
          <w:szCs w:val="28"/>
          <w:lang w:val="uk-UA"/>
        </w:rPr>
        <w:t xml:space="preserve">б) до 10% споживачів готельних </w:t>
      </w:r>
      <w:proofErr w:type="spellStart"/>
      <w:r w:rsidRPr="00227BC3">
        <w:rPr>
          <w:sz w:val="28"/>
          <w:szCs w:val="28"/>
          <w:lang w:val="uk-UA"/>
        </w:rPr>
        <w:t>полуг</w:t>
      </w:r>
      <w:proofErr w:type="spellEnd"/>
      <w:r w:rsidRPr="00227BC3">
        <w:rPr>
          <w:sz w:val="28"/>
          <w:szCs w:val="28"/>
          <w:lang w:val="uk-UA"/>
        </w:rPr>
        <w:t>;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sz w:val="28"/>
          <w:szCs w:val="28"/>
          <w:lang w:val="uk-UA"/>
        </w:rPr>
        <w:t xml:space="preserve">в) до 20% споживачів готельних </w:t>
      </w:r>
      <w:proofErr w:type="spellStart"/>
      <w:r w:rsidRPr="00227BC3">
        <w:rPr>
          <w:sz w:val="28"/>
          <w:szCs w:val="28"/>
          <w:lang w:val="uk-UA"/>
        </w:rPr>
        <w:t>полуг</w:t>
      </w:r>
      <w:proofErr w:type="spellEnd"/>
      <w:r w:rsidRPr="00227BC3">
        <w:rPr>
          <w:sz w:val="28"/>
          <w:szCs w:val="28"/>
          <w:lang w:val="uk-UA"/>
        </w:rPr>
        <w:t>;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sz w:val="28"/>
          <w:szCs w:val="28"/>
          <w:lang w:val="uk-UA"/>
        </w:rPr>
        <w:t xml:space="preserve">г) не менш, ніж до 5% споживачів готельних </w:t>
      </w:r>
      <w:proofErr w:type="spellStart"/>
      <w:r w:rsidRPr="00227BC3">
        <w:rPr>
          <w:sz w:val="28"/>
          <w:szCs w:val="28"/>
          <w:lang w:val="uk-UA"/>
        </w:rPr>
        <w:t>полуг</w:t>
      </w:r>
      <w:proofErr w:type="spellEnd"/>
      <w:r w:rsidRPr="00227BC3">
        <w:rPr>
          <w:sz w:val="28"/>
          <w:szCs w:val="28"/>
          <w:lang w:val="uk-UA"/>
        </w:rPr>
        <w:t>.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i/>
          <w:iCs/>
          <w:sz w:val="28"/>
          <w:szCs w:val="28"/>
          <w:lang w:val="uk-UA"/>
        </w:rPr>
        <w:t>10. Санвузол (роздільний для жінок та чоловіків) з умивальниками у шлюзах встановлюється: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sz w:val="28"/>
          <w:szCs w:val="28"/>
          <w:lang w:val="uk-UA"/>
        </w:rPr>
        <w:t>а) з розрахунком на кожні 75 місць;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sz w:val="28"/>
          <w:szCs w:val="28"/>
          <w:lang w:val="uk-UA"/>
        </w:rPr>
        <w:t>б) з розрахунком на кожні 65 місць;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sz w:val="28"/>
          <w:szCs w:val="28"/>
          <w:lang w:val="uk-UA"/>
        </w:rPr>
        <w:t>в) з розрахунком на кожні 50 місць;</w:t>
      </w:r>
    </w:p>
    <w:p w:rsidR="007565E6" w:rsidRPr="00227BC3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27BC3">
        <w:rPr>
          <w:sz w:val="28"/>
          <w:szCs w:val="28"/>
          <w:lang w:val="uk-UA"/>
        </w:rPr>
        <w:t>г) з розрахунком на кожні 100 місць.</w:t>
      </w:r>
    </w:p>
    <w:p w:rsidR="004207DA" w:rsidRPr="00227BC3" w:rsidRDefault="004207DA">
      <w:pPr>
        <w:rPr>
          <w:rFonts w:ascii="Times New Roman" w:hAnsi="Times New Roman" w:cs="Times New Roman"/>
          <w:sz w:val="28"/>
          <w:szCs w:val="28"/>
        </w:rPr>
      </w:pPr>
    </w:p>
    <w:sectPr w:rsidR="004207DA" w:rsidRPr="00227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D4A"/>
    <w:rsid w:val="00227BC3"/>
    <w:rsid w:val="004207DA"/>
    <w:rsid w:val="007565E6"/>
    <w:rsid w:val="00984951"/>
    <w:rsid w:val="00A57E24"/>
    <w:rsid w:val="00BB3D4A"/>
    <w:rsid w:val="00D1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D756"/>
  <w15:chartTrackingRefBased/>
  <w15:docId w15:val="{633B1F97-876F-4A04-A78C-59575EBD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65E6"/>
    <w:rPr>
      <w:b/>
      <w:bCs/>
    </w:rPr>
  </w:style>
  <w:style w:type="character" w:styleId="a5">
    <w:name w:val="Hyperlink"/>
    <w:basedOn w:val="a0"/>
    <w:uiPriority w:val="99"/>
    <w:semiHidden/>
    <w:unhideWhenUsed/>
    <w:rsid w:val="007565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89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nubip.edu.ua/mod/glossary/showentry.php?eid=198912&amp;displayformat=dictionar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earn.nubip.edu.ua/mod/glossary/showentry.php?eid=198912&amp;displayformat=dictiona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earn.nubip.edu.ua/mod/glossary/showentry.php?eid=198909&amp;displayformat=dictionar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learn.nubip.edu.ua/mod/glossary/showentry.php?eid=198909&amp;displayformat=dictionar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learn.nubip.edu.ua/mod/book/view.php?id=259309" TargetMode="External"/><Relationship Id="rId9" Type="http://schemas.openxmlformats.org/officeDocument/2006/relationships/hyperlink" Target="https://elearn.nubip.edu.ua/mod/glossary/showentry.php?eid=198906&amp;displayformat=diction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111</cp:lastModifiedBy>
  <cp:revision>3</cp:revision>
  <dcterms:created xsi:type="dcterms:W3CDTF">2022-10-14T11:00:00Z</dcterms:created>
  <dcterms:modified xsi:type="dcterms:W3CDTF">2023-12-12T21:18:00Z</dcterms:modified>
</cp:coreProperties>
</file>