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669" w:hanging="2.9999999999995453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669" w:hanging="2.999999999999545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Вченою радою </w:t>
      </w:r>
      <w:r w:rsidDel="00000000" w:rsidR="00000000" w:rsidRPr="00000000">
        <w:rPr>
          <w:sz w:val="28"/>
          <w:szCs w:val="28"/>
          <w:rtl w:val="0"/>
        </w:rPr>
        <w:t xml:space="preserve">факультету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669" w:hanging="2.9999999999995453"/>
        <w:rPr/>
      </w:pPr>
      <w:r w:rsidDel="00000000" w:rsidR="00000000" w:rsidRPr="00000000">
        <w:rPr>
          <w:sz w:val="28"/>
          <w:szCs w:val="28"/>
          <w:rtl w:val="0"/>
        </w:rPr>
        <w:t xml:space="preserve">педагогічних технологій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669" w:hanging="2.9999999999995453"/>
        <w:rPr/>
      </w:pPr>
      <w:r w:rsidDel="00000000" w:rsidR="00000000" w:rsidRPr="00000000">
        <w:rPr>
          <w:sz w:val="28"/>
          <w:szCs w:val="28"/>
          <w:rtl w:val="0"/>
        </w:rPr>
        <w:t xml:space="preserve">та освіти впродовж життя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5669" w:hanging="2.9999999999995453"/>
        <w:jc w:val="left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31 серпня 2023 р., </w:t>
      </w:r>
    </w:p>
    <w:p w:rsidR="00000000" w:rsidDel="00000000" w:rsidP="00000000" w:rsidRDefault="00000000" w:rsidRPr="00000000" w14:paraId="00000006">
      <w:pPr>
        <w:spacing w:after="120" w:lineRule="auto"/>
        <w:ind w:left="5669" w:hanging="2.9999999999995453"/>
        <w:jc w:val="left"/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про</w:t>
      </w:r>
      <w:r w:rsidDel="00000000" w:rsidR="00000000" w:rsidRPr="00000000">
        <w:rPr>
          <w:sz w:val="28"/>
          <w:szCs w:val="28"/>
          <w:rtl w:val="0"/>
        </w:rPr>
        <w:t xml:space="preserve">токол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 №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5669" w:hanging="2.999999999999545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Голова Вченої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69" w:hanging="2.999999999999545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 Оксана ЧЕРНИШ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РОБОЧА ПРОГРАМА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«Ф</w:t>
      </w:r>
      <w:r w:rsidDel="00000000" w:rsidR="00000000" w:rsidRPr="00000000">
        <w:rPr>
          <w:b w:val="1"/>
          <w:sz w:val="28"/>
          <w:szCs w:val="28"/>
          <w:rtl w:val="0"/>
        </w:rPr>
        <w:t xml:space="preserve">ілологічні студії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для здобувачів вищої освіти освітнього ступеня «магістр»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спеціальності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035.10  «Філологія (Прикладна лінгвістика)»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освітньо-професійна програма «Прикладна лінгвістика»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факультет педагогічних технологій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та освіти впродовж життя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кафедра теоретичної та прикладної лінгвістики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4535" w:hanging="3.0000000000001137"/>
        <w:rPr/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Схвалено на засіданні кафедри теоретичної 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4535" w:hanging="3.0000000000001137"/>
        <w:rPr/>
      </w:pPr>
      <w:r w:rsidDel="00000000" w:rsidR="00000000" w:rsidRPr="00000000">
        <w:rPr>
          <w:sz w:val="28"/>
          <w:szCs w:val="28"/>
          <w:rtl w:val="0"/>
        </w:rPr>
        <w:t xml:space="preserve">прикладної лінгвістики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4535" w:hanging="3.0000000000001137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28 серпня 2023 р., </w:t>
      </w:r>
    </w:p>
    <w:p w:rsidR="00000000" w:rsidDel="00000000" w:rsidP="00000000" w:rsidRDefault="00000000" w:rsidRPr="00000000" w14:paraId="00000019">
      <w:pPr>
        <w:spacing w:line="240" w:lineRule="auto"/>
        <w:ind w:left="4535" w:hanging="3.0000000000001137"/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протокол №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4535" w:hanging="3.0000000000001137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Завідувач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4535" w:hanging="3.0000000000001137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_______ Людмила МОГЕЛЬНИЦЬКА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Розробники: к.ф.н., доц. кафедри теоретичної та прикладної лінгвістики СНІХОВСЬКА Ірена, к.ф.н., доц. кафедри теоретичної та прикладної лінгвістики КАНЧУРА Євгенія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Житомир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" w:hanging="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2023 – 2024 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1. Опис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8.0" w:type="dxa"/>
        <w:tblLayout w:type="fixed"/>
        <w:tblLook w:val="0000"/>
      </w:tblPr>
      <w:tblGrid>
        <w:gridCol w:w="2896"/>
        <w:gridCol w:w="3262"/>
        <w:gridCol w:w="3198"/>
        <w:tblGridChange w:id="0">
          <w:tblGrid>
            <w:gridCol w:w="2896"/>
            <w:gridCol w:w="3262"/>
            <w:gridCol w:w="3198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показників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Галузь знань, напрям підготовки, освітній ступінь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 навчання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кредитів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Галузь знань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 «Гуманітарні науки»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нормативна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(нормативна, за вибором)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Модулів –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Спеціальність 035.10 «Філологія (Прикладна лінгвістика)»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Рік підготовки: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Змістових модулів –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 годин - 90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Тижневих годин для денної форми навчання: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аудиторних 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самостійної роботи – 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Освітній ступінь «бакалавр»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Самостійна робота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left="0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контролю: екзамен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Співвідношення кількості годин аудиторних занять до самостійної та індивідуальної роботи становить: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для денної форми навчання – 36% аудиторних занять, 64% самостійної та індивідуальної роботи.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1"/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 та завдання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Навчальна дисципліна “Філологічні студії” знайомить студентів з теоретико-методологічними засадами найактуальніших напрямів сучасного мовознавства та літературознавства, з вагомими поняттями та категоріями мови, які відображають її соціальну, психологічну і філософську сутність та значимість для соціокультурної здатності й діяльності людини, а також із сучасною науковою методологією, сукупністю методологічних засобів науки, зокрема філології.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навчальної дисципліни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надати студентам знання та вміння, що створюють необхідне організаційне підґрунтя для здійснення фахової науково-дослідницької роботи, її презентації науковій спільноті; формування у студентів навичок розв’язувати різноманітні дослідницькі завдання, вибудовувати систему дослідницького пошуку, орієнтуватися в напрямах сучасних філологічних розвідок, використовувати різні методи лінгвістичних та літературознавчих досліджень; формування належного рівня теоретичної підготовки.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Навчальна дисципліна  “Філологічні студії” формує в студентів знання щодо чільних мовознавчих та літературознавчих напрямів та їх розвитку на вітчизняних і зарубіжних теренах, уявлення про розмаїття методологічних підходів у філології на сучасному етапі в цілому; сприяє засвоєнню навичок розпізнавання загальнонаукових аналітичних підходів; демонструє послідовну зміну домінанти головних наукових парадигм в історії філології.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Завданням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вивчення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навчальної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дисципліни 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 ознайомити студентів із сучасними методологічними концепціями, з основами методології наукового пізнання та з методикою наукових досліджень;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сформувати цілісне уявлення про науково-дослідницький процес;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удосконалити вміння пошуку, добору й опрацювання наукової інформації, формулювання мети, завдань і висновків дослідження;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розвивати у студентів вміння працювати з науковою літературою, аналізувати та систематизувати теорії та концепції провідних зарубіжних та вітчизняних мовознавців;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надати найважливішу інформацію про напрями розвитку сучасного вітчизняного і зарубіжного мовознавства та літературознавства;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сформувати науково-дослідницьку компетентність у межах найбільш репрезентативних методів аналізу мовних (мовленнєвих, літературних) явищ із використанням різних пошукових систем, електронних баз даних, бібліотечних каталогів, теоретичної літератури та лексикографічних джерел;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розвивати вміння готувати й презентувати наукову доповідь за результатами власних наукових пошуків;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навчити студентів аналізувати соціальні чинники та розмаїття мовних форм і практично застосовувати набуті знання у практичній діяльності та наукових дослідженнях;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навчити студентів аналізувати часові і територіальні фактори порушення норм екологічності, явище мовної моди, тенденції і закономірності розвитку мов, здійснювати комплексний аналіз мовних явищ та процесів, пов’язаних з функціонуванням мов;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н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авчити студентів застосовувати знання про систему, структуру мови, про соціолінгвістичні і комунікативні фактори її використання, про роль людського фактору у розвитку мов;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ознайомити студентів з сучасними світоглядними позиціями, на базі яких реалізовується сучасна європейська демократична мовна політика.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Зміст навчальної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дисципліни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спрямований на формування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компетентностей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визначених стандартом вищої освіти зі спеціальності 035 «Філологія».</w:t>
      </w:r>
      <w:bookmarkStart w:colFirst="0" w:colLast="0" w:name="bookmark=id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ЗК03. Здатність до пошуку, опрацювання та аналізу інформації з різних джерел.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ЗК04. Уміння виявляти, ставити та вирішувати проблеми.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ЗК07. Здатність до абстрактного мислення, аналізу та синтезу.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1" w:hanging="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ФК01. Здатність вільно орієнтуватися в різних лінгвістичних напрямах і школах.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ФК03. Здатність критично осмислювати історичні надбання та новітні досягнення філологічної науки.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ФК05. Усвідомлення методологічного, організаційного та правового підґрунтя, необхідного для досліджень та/або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ФК07. Здатність вільно користуватися спеціальною термінологією в обраній галузі філологічних досліджень.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Отримані знання з навчальної дисципліни стануть складовими наступних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програмних результатів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навчання за спеціальністю 035 Філологія «Філологія. Прикладна лінгвістика»: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ПРН01. 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ПРН03. 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ПРН07. Аналізувати, порівнювати і класифікувати різні напрями і школи в лінгвістиці.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ПРН08. Оцінювати історичні надбання та новітні досягнення літературознавства.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ПРН10. Збирати й систематизувати мовні, літературні, фольклорні факти, інтерпретувати й перекладати тексти різних стилів і жанрів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ПРН11. Здійснювати науковий аналіз мовного й мовленнєвого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ПРН12. Дотримуватися правил академічної доброчесності.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ПРН13. 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88" w:lineRule="auto"/>
        <w:ind w:left="0" w:hanging="2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88" w:lineRule="auto"/>
        <w:ind w:left="0" w:hanging="2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3. Програма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0" w:hanging="2"/>
        <w:jc w:val="center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7920"/>
        </w:tabs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Змістовий модуль 1. Академічна доброчесність.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7920"/>
        </w:tabs>
        <w:spacing w:line="240" w:lineRule="auto"/>
        <w:ind w:left="0" w:hanging="2"/>
        <w:jc w:val="center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7920"/>
        </w:tabs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1.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 Нормативні засади науково-освітньої діяльності. Культура і стандарти бібліографічних посилань. Патент та авторське право. Плагіат.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2.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 Стандарти та протоколи професійної діяльності. Методи цифрових лінгвістичних досліджень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.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Хмарні технології та цифровий документообіг.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1" w:hanging="3"/>
        <w:jc w:val="left"/>
        <w:rPr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1" w:hanging="3"/>
        <w:jc w:val="center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Змістовий модуль 2. Сучасні мовознавчі студії.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left="1" w:hanging="3"/>
        <w:jc w:val="center"/>
        <w:rPr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3.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 Еколінгвістика: передумови, напрями і перспективи. Екологія мовної свідомості в дискурсивному просторі. Еколінгвістичні модуси сучасного дискурсу.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91">
      <w:pPr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4.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Дигітальний дискурс. Дискурс та його типологія в сучасних лінгвістичних студіях. Особливості вербального аранжування дигітального дискурсу. Методика комплексного дослідження лінгвосеміотичної організації текстового простору дигітального дискурсу. Принципи й закономірності обробки природної мови засобами штучного інтелекту.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5.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Гендерна лінгвістика.</w:t>
      </w:r>
      <w:bookmarkStart w:colFirst="0" w:colLast="0" w:name="bookmark=id.3znysh7" w:id="3"/>
      <w:bookmarkEnd w:id="3"/>
      <w:r w:rsidDel="00000000" w:rsidR="00000000" w:rsidRPr="00000000">
        <w:rPr>
          <w:color w:val="111111"/>
          <w:sz w:val="28"/>
          <w:szCs w:val="28"/>
          <w:rtl w:val="0"/>
        </w:rPr>
        <w:t xml:space="preserve"> Основні етапи розвитку гендерної лінгвістики.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Дискурсивна поведінка та її гендерний складник. Подолання мовного сексизму. Міжгендерне спілкування у світлі теорії мовленнєвих актів.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left="1" w:hanging="3"/>
        <w:rPr/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Тема 6.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 Мовне планування та мовна політика. Проблеми мовної демографії. Специфіка інституційної підтримки мови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Змістовий модуль 3. Сучасні літературознавчі студії.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Тема 7.</w:t>
      </w:r>
      <w:bookmarkStart w:colFirst="0" w:colLast="0" w:name="bookmark=id.2et92p0" w:id="4"/>
      <w:bookmarkEnd w:id="4"/>
      <w:r w:rsidDel="00000000" w:rsidR="00000000" w:rsidRPr="00000000">
        <w:rPr>
          <w:color w:val="000000"/>
          <w:sz w:val="28"/>
          <w:szCs w:val="28"/>
          <w:rtl w:val="0"/>
        </w:rPr>
        <w:t xml:space="preserve"> Метамодернізм. Постгуманізм.</w:t>
      </w:r>
    </w:p>
    <w:p w:rsidR="00000000" w:rsidDel="00000000" w:rsidP="00000000" w:rsidRDefault="00000000" w:rsidRPr="00000000" w14:paraId="00000098">
      <w:pPr>
        <w:spacing w:line="276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Поняття Метамодернізму як спроби поєднати революційні практики в галузі форми та підходів Модернізму з текстоцентричним підходом і тотальною іронією Постмодерну. Що виникає після руйнації віри у Великі наративи. Відновлення гуманітарних констант. Відродження суб’єкту. Взаємодія художніх практик. Постгуманізм як неантропоцентрична культурна парадигма. Екологічна складова. Складова штучного інтелекту.</w:t>
      </w:r>
    </w:p>
    <w:p w:rsidR="00000000" w:rsidDel="00000000" w:rsidP="00000000" w:rsidRDefault="00000000" w:rsidRPr="00000000" w14:paraId="00000099">
      <w:pPr>
        <w:spacing w:line="276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Тема 8.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Постколоніальна критика. Посттоталітарна критика.</w:t>
      </w:r>
    </w:p>
    <w:p w:rsidR="00000000" w:rsidDel="00000000" w:rsidP="00000000" w:rsidRDefault="00000000" w:rsidRPr="00000000" w14:paraId="0000009A">
      <w:pPr>
        <w:spacing w:line="276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Постколоніальні переосмислення досвіду ХХ-ХХІ сторіч. Визначення колоніалізму як домінування одного з початків. Колоніалізм як насильство над природою та індивідуальністю. Постколоніальні студії, ревізія національних літератур. Література спротиву тоталітарним режимам. Усвідомлення системи тоталітарних систем засобами літератури. Антиутопія.</w:t>
      </w:r>
    </w:p>
    <w:p w:rsidR="00000000" w:rsidDel="00000000" w:rsidP="00000000" w:rsidRDefault="00000000" w:rsidRPr="00000000" w14:paraId="0000009B">
      <w:pPr>
        <w:spacing w:line="276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Тема 9.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Феміністична критика. </w:t>
      </w:r>
    </w:p>
    <w:p w:rsidR="00000000" w:rsidDel="00000000" w:rsidP="00000000" w:rsidRDefault="00000000" w:rsidRPr="00000000" w14:paraId="0000009C">
      <w:pPr>
        <w:spacing w:line="276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Дискусії навколо гендерних підходів до літератури. Питання жіночого письма. Феміністична література як прояв антитоталітарного руху. Джерела та витоки. Елементи феміністичної літератури в різні історичні періоди. Вірджинія Вулф. Сімона де Бовуар. Антонія Байєтт.</w:t>
      </w:r>
    </w:p>
    <w:p w:rsidR="00000000" w:rsidDel="00000000" w:rsidP="00000000" w:rsidRDefault="00000000" w:rsidRPr="00000000" w14:paraId="0000009D">
      <w:pPr>
        <w:tabs>
          <w:tab w:val="left" w:leader="none" w:pos="7920"/>
        </w:tabs>
        <w:spacing w:line="276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Тема 10.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Література українського спротиву.</w:t>
      </w:r>
    </w:p>
    <w:p w:rsidR="00000000" w:rsidDel="00000000" w:rsidP="00000000" w:rsidRDefault="00000000" w:rsidRPr="00000000" w14:paraId="0000009E">
      <w:pPr>
        <w:tabs>
          <w:tab w:val="left" w:leader="none" w:pos="7920"/>
        </w:tabs>
        <w:spacing w:line="276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Джерела та витоки літератури українського спротиву. Традиції та сьогодення. Особливості сучасного літературного процесу. Представлення літератури українського спротиву на міжнародній арені. Сергій Жадан. Катерина Михайлиціна. Марина Пономаренко. </w:t>
      </w:r>
    </w:p>
    <w:p w:rsidR="00000000" w:rsidDel="00000000" w:rsidP="00000000" w:rsidRDefault="00000000" w:rsidRPr="00000000" w14:paraId="0000009F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1"/>
        <w:tabs>
          <w:tab w:val="left" w:leader="none" w:pos="7920"/>
        </w:tabs>
        <w:spacing w:line="240" w:lineRule="auto"/>
        <w:ind w:left="0" w:hanging="2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a64d79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4. Структура (тематичний план)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2.0" w:type="dxa"/>
        <w:jc w:val="left"/>
        <w:tblInd w:w="-108.0" w:type="dxa"/>
        <w:tblLayout w:type="fixed"/>
        <w:tblLook w:val="0000"/>
      </w:tblPr>
      <w:tblGrid>
        <w:gridCol w:w="5787"/>
        <w:gridCol w:w="969"/>
        <w:gridCol w:w="831"/>
        <w:gridCol w:w="831"/>
        <w:gridCol w:w="834"/>
        <w:tblGridChange w:id="0">
          <w:tblGrid>
            <w:gridCol w:w="5787"/>
            <w:gridCol w:w="969"/>
            <w:gridCol w:w="831"/>
            <w:gridCol w:w="831"/>
            <w:gridCol w:w="834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Змістові модулі і 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16" w:lineRule="auto"/>
              <w:ind w:left="0" w:right="113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16" w:lineRule="auto"/>
              <w:ind w:left="0" w:right="113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16" w:lineRule="auto"/>
              <w:ind w:left="0" w:right="113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16" w:lineRule="auto"/>
              <w:ind w:left="0" w:right="113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самостійна робота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ind w:left="0" w:right="113" w:hanging="2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Модуль 1.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ind w:left="0" w:right="113" w:hanging="2"/>
              <w:jc w:val="center"/>
              <w:rPr/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Змістовий модуль 1. Академічна доброчесність.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tabs>
                <w:tab w:val="left" w:leader="none" w:pos="7920"/>
              </w:tabs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 1. Нормативні засади науково-освітньої діяльності.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2. Стандарти та протоколи професійної діяльності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111111"/>
                <w:sz w:val="24"/>
                <w:szCs w:val="24"/>
                <w:rtl w:val="0"/>
              </w:rPr>
              <w:t xml:space="preserve">Разом за змістовий 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ind w:left="0" w:right="113" w:hanging="2"/>
              <w:jc w:val="center"/>
              <w:rPr/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Модуль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Змістовий модуль 2. Мовознавство.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3. Еколінгвістика: передумови, напрями і перспективи.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 4. Дигітальний дискурс.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color w:val="111111"/>
                <w:sz w:val="24"/>
                <w:szCs w:val="24"/>
                <w:highlight w:val="white"/>
                <w:rtl w:val="0"/>
              </w:rPr>
              <w:t xml:space="preserve">Гендерна лінгвістика.</w:t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6. Мовне планування та мовна політика.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111111"/>
                <w:sz w:val="24"/>
                <w:szCs w:val="24"/>
                <w:rtl w:val="0"/>
              </w:rPr>
              <w:t xml:space="preserve">Разом за змістовий модуль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ind w:left="0" w:right="113" w:hanging="2"/>
              <w:jc w:val="center"/>
              <w:rPr/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Модуль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Змістовий модуль 3. Літературознавство.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7. Метамодернізм. Постгуманізм.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8. Постколоніальна та посттоталітарна критика.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9. Феміністична критика.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10. Література українського спротиву.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Разом за змістовий модуль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ind w:left="0" w:hanging="2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widowControl w:val="1"/>
        <w:spacing w:after="12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5. Теми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практичних (лабораторних)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7920"/>
        </w:tabs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8.0" w:type="dxa"/>
        <w:tblLayout w:type="fixed"/>
        <w:tblLook w:val="0000"/>
      </w:tblPr>
      <w:tblGrid>
        <w:gridCol w:w="674"/>
        <w:gridCol w:w="7333"/>
        <w:gridCol w:w="1631"/>
        <w:tblGridChange w:id="0">
          <w:tblGrid>
            <w:gridCol w:w="674"/>
            <w:gridCol w:w="7333"/>
            <w:gridCol w:w="1631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Назва 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годин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1.</w:t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 Нормативні засади науково-освітньої діяльності.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 </w:t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Еколінгвістичні модуси сучасного дискурсу.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 3.  Типологія дискурсу в сучасних лінгвістичних студіях.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 4. Гендерний аспект лінгвістичних досліджень.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 5. Метамодернізм. Постгуманізм.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Тема 6. Постколоніальна та посттоталітарна критика.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7. 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Феміністична критика.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8. 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Література українського спротиву.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ind w:left="0" w:hanging="2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widowControl w:val="1"/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 Завдання для самостійної роботи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13E">
      <w:pPr>
        <w:widowControl w:val="1"/>
        <w:spacing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Культура і стандарти бібліографічних посилань.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Патент та авторське право.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Стандарти та протоколи професійної діяльності.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Хмарні технології та цифровий документообіг.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Застосування структурного методу в лінгвістичних дослідженнях.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Зіставний метод та його основні прийоми.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Основні критерії добору матеріалу дослідження. Обмеження матеріалу дослідження, вимоги до термінології.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Загальнонаукові та вузькофахові філологічні методи вивчення матеріалу: порівняльно-історичний, зіставний, статистичний, описовий, культурологічний.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Контент-аналіз, дискурс-аналіз, конверсаційний аналіз, критичний дискурс-аналіз.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Метод компонентного аналізу.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Трансформаційний метод.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Дистрибутивний аналіз. Аналіз за безпосередніми складниками.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Соціолінгвістичні та психолінгвістичні методи дослідження мовних явищ.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Базові принципи здійснення лінгвістичного дослідження.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Принципи роботи з емпіричним матеріалом у лінгвістичних студіях.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Представлення та обробка статистичних даних у лінгвістичних студіях.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Когнітивна лінгвістика та її методи вивчення мовного матеріалу.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Теорія мовної відносності або гіпотеза Сепіра-Уорфа.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Дослідження мовних концептів. Наївна картина світу.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Дослідження лексичної семантики у синхронії та діахронії.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Генеративна граматика Н. Хомського.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Постулати П Грайса.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Мовна та наукова картини світу.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Концептуалізація світу носіями різних 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тапи розвитку гендерної лінгвістики.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Дискурсивна поведінка та її гендерний складник.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Подолання мовного сексизму.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Міжгендерне спілкування у світлі теорії мовленнєвих актів.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spacing w:line="276" w:lineRule="auto"/>
        <w:ind w:left="1" w:hanging="3"/>
        <w:jc w:val="left"/>
        <w:rPr/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Особливості вербального аранжування дигітального дискурсу.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line="276" w:lineRule="auto"/>
        <w:ind w:left="1" w:hanging="3"/>
        <w:jc w:val="left"/>
        <w:rPr/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Лінгвосеміотична організації текстового простору дигітального дискурсу.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line="276" w:lineRule="auto"/>
        <w:ind w:left="1" w:hanging="3"/>
        <w:jc w:val="left"/>
        <w:rPr/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Принципи й закономірності обробки природної мови засобами штучного інтелекту.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Англомовний дигітальний дискурс та його параметричні ознаки.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Особливості вербального аранжування дигітального дискурсу.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Чатбот як медіатор комунікації «людина - машина».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Лінгвальна амбівалентність та її подолання.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Прагмасемантичні особливості спілкування чатбота.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2"/>
        </w:numPr>
        <w:spacing w:line="276" w:lineRule="auto"/>
        <w:ind w:left="1" w:hanging="3"/>
        <w:rPr/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Базові принципи здійснення літературознавчого дослідження.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Літературознавча компаративістика.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Дискурсологія та наратологія.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Психоаналітичні дослідження в сучасному літературознавстві.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Сучасна генологія в літературознавстві.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Неоміфологічний напрям у літературознавстві.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Постструктуралізм у контексті найновіших літературознавчих досліджень.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Постколоніальна критика.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Феміністична критика.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Рецептивна естетика.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color w:val="000000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Літературознавча феноменологія.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 Індивідуальні завдання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highlight w:val="white"/>
          <w:rtl w:val="0"/>
        </w:rPr>
        <w:t xml:space="preserve">Виконання самостійних творчих робіт, групових та індивідуальних проєктів, підготовка презентацій на теми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, що розглядаються під час лекційних та практичних занять.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8. 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ind w:left="1" w:hanging="3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Пояснювально-ілюстративний метод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здобувачі вищої освіти одержують знання на лекції, з навчальної або методичної літератури, через екранний посібник у "готовому" вигляді. </w:t>
      </w:r>
      <w:r w:rsidDel="00000000" w:rsidR="00000000" w:rsidRPr="00000000">
        <w:rPr>
          <w:i w:val="1"/>
          <w:sz w:val="28"/>
          <w:szCs w:val="28"/>
          <w:rtl w:val="0"/>
        </w:rPr>
        <w:t xml:space="preserve">Метод проблемного викладу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лектор до викладу матеріалу ставить проблему, формулює пізнавальне завдання на основі різних джерел і засобів, студенти стають співучасниками наукового пошуку. </w:t>
      </w:r>
      <w:r w:rsidDel="00000000" w:rsidR="00000000" w:rsidRPr="00000000">
        <w:rPr>
          <w:i w:val="1"/>
          <w:sz w:val="28"/>
          <w:szCs w:val="28"/>
          <w:rtl w:val="0"/>
        </w:rPr>
        <w:t xml:space="preserve">Евристичний метод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полягає в організації активного пошуку рішення висунутих у навчанні пізнавальних завдань.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 Методи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Перевірка й оцінювання знань студентів проводиться у таких формах: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1. Опитування на заняттях;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2. Самостійні письмові роботи на 5-7 хв;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3. Оцінювання самостійної роботи студентів контролюється під час практичних занять у вигляді опитування, виконання студентами контрольних завдань, підготовки доповідей, презентацій;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4. Модульний контроль відбувається шляхом контрольного опитування (усного або письмового).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5. Підсумковий контроль вивчення дисципліни здійснюється шляхом складання екзамену.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1"/>
        <w:spacing w:line="240" w:lineRule="auto"/>
        <w:ind w:left="1" w:hanging="3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spacing w:line="240" w:lineRule="auto"/>
        <w:ind w:left="1" w:hanging="3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10. </w:t>
      </w:r>
      <w:r w:rsidDel="00000000" w:rsidR="00000000" w:rsidRPr="00000000">
        <w:rPr>
          <w:b w:val="1"/>
          <w:sz w:val="28"/>
          <w:szCs w:val="28"/>
          <w:rtl w:val="0"/>
        </w:rPr>
        <w:t xml:space="preserve">Розподіл балів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1.0" w:type="dxa"/>
        <w:jc w:val="left"/>
        <w:tblInd w:w="-108.0" w:type="dxa"/>
        <w:tblLayout w:type="fixed"/>
        <w:tblLook w:val="0000"/>
      </w:tblPr>
      <w:tblGrid>
        <w:gridCol w:w="645"/>
        <w:gridCol w:w="854"/>
        <w:gridCol w:w="854"/>
        <w:gridCol w:w="899"/>
        <w:gridCol w:w="959"/>
        <w:gridCol w:w="1019"/>
        <w:gridCol w:w="629"/>
        <w:gridCol w:w="869"/>
        <w:gridCol w:w="794"/>
        <w:gridCol w:w="1079"/>
        <w:gridCol w:w="236"/>
        <w:gridCol w:w="689"/>
        <w:gridCol w:w="645"/>
        <w:tblGridChange w:id="0">
          <w:tblGrid>
            <w:gridCol w:w="645"/>
            <w:gridCol w:w="854"/>
            <w:gridCol w:w="854"/>
            <w:gridCol w:w="899"/>
            <w:gridCol w:w="959"/>
            <w:gridCol w:w="1019"/>
            <w:gridCol w:w="629"/>
            <w:gridCol w:w="869"/>
            <w:gridCol w:w="794"/>
            <w:gridCol w:w="1079"/>
            <w:gridCol w:w="236"/>
            <w:gridCol w:w="689"/>
            <w:gridCol w:w="645"/>
          </w:tblGrid>
        </w:tblGridChange>
      </w:tblGrid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Поточне тестування та самостійна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Змістовий 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Змістовий модуль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Змістовий модуль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1"/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line="240" w:lineRule="auto"/>
              <w:ind w:left="1" w:hanging="3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widowControl w:val="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Шкала оцінювання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108.0" w:type="dxa"/>
        <w:tblLayout w:type="fixed"/>
        <w:tblLook w:val="0000"/>
      </w:tblPr>
      <w:tblGrid>
        <w:gridCol w:w="2408"/>
        <w:gridCol w:w="2410"/>
        <w:gridCol w:w="2410"/>
        <w:gridCol w:w="2410"/>
        <w:tblGridChange w:id="0">
          <w:tblGrid>
            <w:gridCol w:w="2408"/>
            <w:gridCol w:w="2410"/>
            <w:gridCol w:w="2410"/>
            <w:gridCol w:w="24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 шкалою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82-89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74-81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64-73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60-63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35-59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widowControl w:val="1"/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0-34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1"/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11. Рекомендована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1"/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1"/>
        <w:spacing w:line="240" w:lineRule="auto"/>
        <w:ind w:left="1" w:hanging="3"/>
        <w:jc w:val="left"/>
        <w:rPr/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Основна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Антологія світової літературно-критичної думки ХХ ст. / за ред. М. Зубрицької. – Львів, Літопис, 2002. – 2-е вид., допов. – 832 с.  </w:t>
      </w:r>
    </w:p>
    <w:p w:rsidR="00000000" w:rsidDel="00000000" w:rsidP="00000000" w:rsidRDefault="00000000" w:rsidRPr="00000000" w14:paraId="000001E2">
      <w:pPr>
        <w:widowControl w:val="1"/>
        <w:numPr>
          <w:ilvl w:val="0"/>
          <w:numId w:val="1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Борисенко Н. Д. Методика проведення наукових досліджень: Навчально-методичний посібник. Житомир: Вид-во ЖДУ, 2010. 64 с.</w:t>
      </w:r>
    </w:p>
    <w:p w:rsidR="00000000" w:rsidDel="00000000" w:rsidP="00000000" w:rsidRDefault="00000000" w:rsidRPr="00000000" w14:paraId="000001E3">
      <w:pPr>
        <w:numPr>
          <w:ilvl w:val="0"/>
          <w:numId w:val="1"/>
        </w:numPr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Галич О. Теорія літератури / О. Галич, В. Назарець, Є. Васильєв. – Київ: Либідь, 2005. – 488 с.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Давиденко Г. Й., Стрельчук Г. М., Гринчак Н. І. Історія зарубіжної літератури XX століття. К.: Центр учбової літератури, 2011. – 488 с.</w:t>
      </w:r>
    </w:p>
    <w:p w:rsidR="00000000" w:rsidDel="00000000" w:rsidP="00000000" w:rsidRDefault="00000000" w:rsidRPr="00000000" w14:paraId="000001E5">
      <w:pPr>
        <w:numPr>
          <w:ilvl w:val="0"/>
          <w:numId w:val="1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Давиденко Г. Й., Чайка О.М., Гричаник Н.І. Кушнєрьова М.О. Історія новітньої зарубіжної літератури. К.: Центр учбової літератури, 2008. – 274 с.</w:t>
      </w:r>
    </w:p>
    <w:p w:rsidR="00000000" w:rsidDel="00000000" w:rsidP="00000000" w:rsidRDefault="00000000" w:rsidRPr="00000000" w14:paraId="000001E6">
      <w:pPr>
        <w:widowControl w:val="1"/>
        <w:numPr>
          <w:ilvl w:val="0"/>
          <w:numId w:val="1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Капіца Ю. М., Ступак С. К., Жувака О. В. Авторське право і суміжні права в Європі: монографія. Київ: Логос, 2012. 696 с.</w:t>
      </w:r>
    </w:p>
    <w:p w:rsidR="00000000" w:rsidDel="00000000" w:rsidP="00000000" w:rsidRDefault="00000000" w:rsidRPr="00000000" w14:paraId="000001E7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Левицький В. В. Квантитативні методи в лінгвістиці. Вінниця: Нова книга, 2007.</w:t>
      </w:r>
    </w:p>
    <w:p w:rsidR="00000000" w:rsidDel="00000000" w:rsidP="00000000" w:rsidRDefault="00000000" w:rsidRPr="00000000" w14:paraId="000001E8">
      <w:pPr>
        <w:widowControl w:val="1"/>
        <w:numPr>
          <w:ilvl w:val="0"/>
          <w:numId w:val="1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Мазур О. В., Подвойська О. В., Радецька С. В. Основи наукових досліджень. Вінниця: Нова книга, 2013. 119 с.</w:t>
      </w:r>
    </w:p>
    <w:p w:rsidR="00000000" w:rsidDel="00000000" w:rsidP="00000000" w:rsidRDefault="00000000" w:rsidRPr="00000000" w14:paraId="000001E9">
      <w:pPr>
        <w:widowControl w:val="1"/>
        <w:numPr>
          <w:ilvl w:val="0"/>
          <w:numId w:val="1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Материнська О. В. Основи наукових досліджень: конспект лекцій. Донецьк: ДонНУ, 2007. 60 с.</w:t>
      </w:r>
    </w:p>
    <w:p w:rsidR="00000000" w:rsidDel="00000000" w:rsidP="00000000" w:rsidRDefault="00000000" w:rsidRPr="00000000" w14:paraId="000001EA">
      <w:pPr>
        <w:widowControl w:val="1"/>
        <w:numPr>
          <w:ilvl w:val="0"/>
          <w:numId w:val="1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Перебийніс В. І. Статистичні методи для лінгвістів (посібник). Вид. 2-ге, доп. і виправл. Вінниця: Нова книга, 2013.</w:t>
      </w:r>
    </w:p>
    <w:p w:rsidR="00000000" w:rsidDel="00000000" w:rsidP="00000000" w:rsidRDefault="00000000" w:rsidRPr="00000000" w14:paraId="000001EB">
      <w:pPr>
        <w:widowControl w:val="1"/>
        <w:numPr>
          <w:ilvl w:val="0"/>
          <w:numId w:val="1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Радзієвська Т. В. Дискурсивні простори: історико-лінгвістичний вимір. Київ: ДП «Інформаційно-аналітичне агентство», 2018. 323 с.</w:t>
      </w:r>
    </w:p>
    <w:p w:rsidR="00000000" w:rsidDel="00000000" w:rsidP="00000000" w:rsidRDefault="00000000" w:rsidRPr="00000000" w14:paraId="000001EC">
      <w:pPr>
        <w:widowControl w:val="1"/>
        <w:numPr>
          <w:ilvl w:val="0"/>
          <w:numId w:val="1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Семків В. О., Шандра Р. С. Інтелектуальна власність: підручник для студентів неюридичних факультетів. Львів: Галицький друкар, 2015. 280 с.</w:t>
      </w:r>
    </w:p>
    <w:p w:rsidR="00000000" w:rsidDel="00000000" w:rsidP="00000000" w:rsidRDefault="00000000" w:rsidRPr="00000000" w14:paraId="000001ED">
      <w:pPr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Тихомирова, О. В., Ізотова, Н. П. Voices of the World: Reading Contemporary Fiction / Голоси світу: читаємо сучасну літературу. Частина перша : підручник для студентів першого (бакалаврського) рівня вищої освіти спеціальностей 035 Філологія, 014 Середня освіта. Київ: Видавничий центр КНЛУ, 2022.</w:t>
      </w:r>
    </w:p>
    <w:p w:rsidR="00000000" w:rsidDel="00000000" w:rsidP="00000000" w:rsidRDefault="00000000" w:rsidRPr="00000000" w14:paraId="000001EE">
      <w:pPr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Тихомирова, О. В., Ізотова, Н. П. Voices of the World: Reading Contemporary Fiction / Голоси світу: читаємо сучасну літературу. Частина 2: підручник для студентів другого (магістерського) рівня вищої освіти спеціальності 035 Філологія. Київ: Видавничий центр КНЛУ, 2022.</w:t>
      </w:r>
    </w:p>
    <w:p w:rsidR="00000000" w:rsidDel="00000000" w:rsidP="00000000" w:rsidRDefault="00000000" w:rsidRPr="00000000" w14:paraId="000001EF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1"/>
        <w:spacing w:line="240" w:lineRule="auto"/>
        <w:ind w:left="0" w:hanging="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1"/>
        <w:spacing w:line="240" w:lineRule="auto"/>
        <w:ind w:left="1" w:hanging="3"/>
        <w:jc w:val="left"/>
        <w:rPr/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Додаткова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Антологія світової літературно-критичної думки ХХ ст. / за ред. М. Зубрицької. Львів : Літопис, 2002. 832 с. </w:t>
      </w:r>
    </w:p>
    <w:p w:rsidR="00000000" w:rsidDel="00000000" w:rsidP="00000000" w:rsidRDefault="00000000" w:rsidRPr="00000000" w14:paraId="000001F3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Барт Р. Від твору до тексту [Електронний ресурс] / Р. Барт, Ю. Гудзь (пер.) // Незалежний культурологічний часопис "Ї", №4. – 1990. – Режим доступу до ресурсу: </w:t>
      </w: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http://www.ji.lviv.ua/n4texts/bart.htm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F4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Багацька О.В., Дука М.В. Література Англії: Навчальний посібник для студентів ВНЗ (англійською мовою). – Суми: ВТД: «Університетська книга», 2006. – 443 с.</w:t>
      </w:r>
    </w:p>
    <w:p w:rsidR="00000000" w:rsidDel="00000000" w:rsidP="00000000" w:rsidRDefault="00000000" w:rsidRPr="00000000" w14:paraId="000001F5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Бацевич Ф. С. Нариси з комунікативної лінгвістики. Львів: Видавничий центр ЛНУ ім.Івана Франка, 2003.</w:t>
      </w:r>
    </w:p>
    <w:p w:rsidR="00000000" w:rsidDel="00000000" w:rsidP="00000000" w:rsidRDefault="00000000" w:rsidRPr="00000000" w14:paraId="000001F6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Баррі, Пітер. Вступ до теорії: літературознавство та культурологія / Пер. з англ. О. Погинайко; наук. ред. Р. Семків. — К.: Смолоскип, 2008. — 360 с. — (Серія «Пролегомени»).</w:t>
      </w:r>
    </w:p>
    <w:p w:rsidR="00000000" w:rsidDel="00000000" w:rsidP="00000000" w:rsidRDefault="00000000" w:rsidRPr="00000000" w14:paraId="000001F7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Білоус П. В. Вступ до літературознавства : навч. посіб. / Петро Васильович Білоус. – Київ: Академія, 2011. – 336 с.</w:t>
      </w:r>
    </w:p>
    <w:p w:rsidR="00000000" w:rsidDel="00000000" w:rsidP="00000000" w:rsidRDefault="00000000" w:rsidRPr="00000000" w14:paraId="000001F8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Висоцька Н.О. Між світом і текстом: відповіді літературної теорії на запити часу у перспективі викладання літератури: [Електронний ресурс] / Н. О. Висоцька // Питання літературознавства. – 2013. – Вип. 87. – С. 142–153.</w:t>
      </w:r>
    </w:p>
    <w:p w:rsidR="00000000" w:rsidDel="00000000" w:rsidP="00000000" w:rsidRDefault="00000000" w:rsidRPr="00000000" w14:paraId="000001F9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Госовська, М. Проблеми феміністичної літературної критики: одіссея сучасних теорій [Текст]: [сучасна феміністична література] / Марта Госовська // Studia Methodologica. – 2011. – Вип. 31. – С. 129–133.</w:t>
      </w:r>
    </w:p>
    <w:p w:rsidR="00000000" w:rsidDel="00000000" w:rsidP="00000000" w:rsidRDefault="00000000" w:rsidRPr="00000000" w14:paraId="000001FA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Довгодько Т.І., Драпогуз, О.Ю. Корчук О.Ю. Ключові терміни сучасної гуманітаристики // Світові виміри освітніх тенденцій : збірник наукових праць / за заг. ред. Г. В. Межжеріною, О. Ю. Корчук ; Навчально-науковий інститут міжнародного співробітництва та освіти. Національний авіаційний університет. Київ, 2023. Вип. 16. С. 111-122.</w:t>
      </w:r>
    </w:p>
    <w:p w:rsidR="00000000" w:rsidDel="00000000" w:rsidP="00000000" w:rsidRDefault="00000000" w:rsidRPr="00000000" w14:paraId="000001FB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Джеймс Лалл. Медіа, комунікації, культура. Глобальний підхід. Пер. з англ. Київ: К.І.С., 2002.</w:t>
      </w:r>
    </w:p>
    <w:p w:rsidR="00000000" w:rsidDel="00000000" w:rsidP="00000000" w:rsidRDefault="00000000" w:rsidRPr="00000000" w14:paraId="000001FC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Єрмоленко С.Я. Нариси з української словесності: стилістика та культура мови. Київ: Довіра, 1999. 431 с.</w:t>
      </w:r>
    </w:p>
    <w:p w:rsidR="00000000" w:rsidDel="00000000" w:rsidP="00000000" w:rsidRDefault="00000000" w:rsidRPr="00000000" w14:paraId="000001FD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Жанри і стилі в історії української літературної мови. Київ: Наукова думка, 1989.</w:t>
      </w:r>
    </w:p>
    <w:p w:rsidR="00000000" w:rsidDel="00000000" w:rsidP="00000000" w:rsidRDefault="00000000" w:rsidRPr="00000000" w14:paraId="000001FE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Зарицький М. С. Актуальнi проблеми українського термiнознавства: Пiдручник. Київ: НТУ КПІ, 2004. 56 с.</w:t>
      </w:r>
    </w:p>
    <w:p w:rsidR="00000000" w:rsidDel="00000000" w:rsidP="00000000" w:rsidRDefault="00000000" w:rsidRPr="00000000" w14:paraId="000001FF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Канчура Є. Моделювання текстуалізованого світу в романах-фентезі Террі Претчетта : дис. канд. філ. наук : 10.01.04. / Канчура Є. О. – Київ, 2012. – 233 с.</w:t>
      </w:r>
    </w:p>
    <w:p w:rsidR="00000000" w:rsidDel="00000000" w:rsidP="00000000" w:rsidRDefault="00000000" w:rsidRPr="00000000" w14:paraId="00000200">
      <w:pPr>
        <w:widowControl w:val="1"/>
        <w:numPr>
          <w:ilvl w:val="0"/>
          <w:numId w:val="3"/>
        </w:numPr>
        <w:spacing w:line="240" w:lineRule="auto"/>
        <w:ind w:left="1" w:hanging="3"/>
        <w:jc w:val="lef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Кійко С., Левицький В. Статистичні дослідження полісемії дієслів сучасної німецької мови. Проблеми квантитативної лінгвістики. Чернівці: Рута, 2005. С. 210-244.</w:t>
      </w:r>
    </w:p>
    <w:p w:rsidR="00000000" w:rsidDel="00000000" w:rsidP="00000000" w:rsidRDefault="00000000" w:rsidRPr="00000000" w14:paraId="00000201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Кочан І. М. Лінгвістичний аналіз тексту. Київ: Знання, 2008.</w:t>
      </w:r>
    </w:p>
    <w:p w:rsidR="00000000" w:rsidDel="00000000" w:rsidP="00000000" w:rsidRDefault="00000000" w:rsidRPr="00000000" w14:paraId="00000202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Кочан І. М. Українська наукова лексика: навч. посіб. Київ: Знання, 2013. 294 с.</w:t>
      </w:r>
    </w:p>
    <w:p w:rsidR="00000000" w:rsidDel="00000000" w:rsidP="00000000" w:rsidRDefault="00000000" w:rsidRPr="00000000" w14:paraId="00000203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Левицький В. В. Лексична полісемія та квантитативні методи її дослідження. Мовознавство. 2003. No 4. С. 17–25.</w:t>
      </w:r>
    </w:p>
    <w:p w:rsidR="00000000" w:rsidDel="00000000" w:rsidP="00000000" w:rsidRDefault="00000000" w:rsidRPr="00000000" w14:paraId="00000204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Лисиченко Л. А. Лексико-семантична система української мови. Харків, 1997.</w:t>
      </w:r>
    </w:p>
    <w:p w:rsidR="00000000" w:rsidDel="00000000" w:rsidP="00000000" w:rsidRDefault="00000000" w:rsidRPr="00000000" w14:paraId="00000205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Наливайко Д. С. Спільність і своєрідність: Українська література в контексті європейського літературного процесу / Д. С. Наливайко. – Київ: Дніпро, 1988. – 395 с.</w:t>
      </w:r>
    </w:p>
    <w:p w:rsidR="00000000" w:rsidDel="00000000" w:rsidP="00000000" w:rsidRDefault="00000000" w:rsidRPr="00000000" w14:paraId="00000206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Огуй О. Д. Системно-квантитативні аспекти семантики та полісемії. Чернівці: Рута, 1998. 118 с.</w:t>
      </w:r>
    </w:p>
    <w:p w:rsidR="00000000" w:rsidDel="00000000" w:rsidP="00000000" w:rsidRDefault="00000000" w:rsidRPr="00000000" w14:paraId="00000207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Сінченко О. Д. Комунікативні стратегії в теорії літератури: автор, текст, читач: Навчальний посібник / Олексій Сінченко. – К.: Логос, 2015. – 170 с.</w:t>
      </w:r>
    </w:p>
    <w:p w:rsidR="00000000" w:rsidDel="00000000" w:rsidP="00000000" w:rsidRDefault="00000000" w:rsidRPr="00000000" w14:paraId="00000208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Селіванова О. О. Сучасна лінгвістика: термінологічна енциклопедія. Полтава : Довкілля, 2006.</w:t>
      </w:r>
    </w:p>
    <w:p w:rsidR="00000000" w:rsidDel="00000000" w:rsidP="00000000" w:rsidRDefault="00000000" w:rsidRPr="00000000" w14:paraId="00000209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Сніховська І.Е. Роль академічної доброчесності в сучасному освітньо-науковому просторі України. Academic integrity: collection of essays. Warsaw (11.03 – 23.03.2019). 2019. C. 136-138.</w:t>
      </w:r>
    </w:p>
    <w:p w:rsidR="00000000" w:rsidDel="00000000" w:rsidP="00000000" w:rsidRDefault="00000000" w:rsidRPr="00000000" w14:paraId="0000020A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Собчук О. В. Переосмислення понять наративності, персонажа і фокалізації в сучасній когнітивній наратології / О. В. Собчук // Магістеріум. Літературознавчі студії. - 2012. - Вип. 48. - С. 108-113.</w:t>
      </w:r>
    </w:p>
    <w:p w:rsidR="00000000" w:rsidDel="00000000" w:rsidP="00000000" w:rsidRDefault="00000000" w:rsidRPr="00000000" w14:paraId="0000020B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Соловйова Л.Ф. Сніховська I.E. Теоретичні аспекти сучасної англійської мови : методичні рекомендації. Житомир : ТОВ “Графіум”, 2019. 66 с.</w:t>
      </w:r>
    </w:p>
    <w:p w:rsidR="00000000" w:rsidDel="00000000" w:rsidP="00000000" w:rsidRDefault="00000000" w:rsidRPr="00000000" w14:paraId="0000020C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Соловйова Л.Ф., Сніховська І.Е. Метафоричні дієслівні композити в сучасній англійській мові. Сучасні дослідження з іноземної філології. 2023. Вип. 1. С. 123-131.</w:t>
      </w:r>
    </w:p>
    <w:p w:rsidR="00000000" w:rsidDel="00000000" w:rsidP="00000000" w:rsidRDefault="00000000" w:rsidRPr="00000000" w14:paraId="0000020D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Стельмах, X. Теорії жіночого письма та феміністична критика / Стельмах, X.. // Компаративні дослідження слов’янських мов і літератур. Пам’яті академіка Леоніда Булаховського. – 2012. – №19. – С. 357–365.</w:t>
      </w:r>
    </w:p>
    <w:p w:rsidR="00000000" w:rsidDel="00000000" w:rsidP="00000000" w:rsidRDefault="00000000" w:rsidRPr="00000000" w14:paraId="0000020E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Сучасна літературна компаративістика: стратегії і методи: антологія / за заг. Ред. Д. Наливайка. Київ: ВД «Києво-Могилянська академія», 2009. 487 с.</w:t>
      </w:r>
    </w:p>
    <w:p w:rsidR="00000000" w:rsidDel="00000000" w:rsidP="00000000" w:rsidRDefault="00000000" w:rsidRPr="00000000" w14:paraId="0000020F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Павличко, С. Д. Дискурс модернізму в українській літературі / Соломія Павличко. – [2-ге вид., перероб. і допов.]. – Київ: Либідь, 1999. – 446, [1] с.</w:t>
      </w:r>
    </w:p>
    <w:p w:rsidR="00000000" w:rsidDel="00000000" w:rsidP="00000000" w:rsidRDefault="00000000" w:rsidRPr="00000000" w14:paraId="00000210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Папуша І. Modus ponens. Нариси з наратології / Ігор Папуша. – Тернопіль: Крок, 2013. – 259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Тернер Л. Маніфест Метамодернізму [Електронний ресурс] / Люк Тернер // The Syncretic Times. – 2016. – Режим доступу до ресурсу:</w:t>
      </w:r>
      <w:hyperlink r:id="rId8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https://thesyncretictimes.wordpress.com/2016/02/22/metamodernist-manifesto-ukrainian/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212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Українська лінгвостилістика ХХ – початку ХХІ ст.: система понять і бібліографічні джерела / За ред. проф. С.Я. Єрмоленко. Київ: Грамота, 2007.</w:t>
      </w:r>
    </w:p>
    <w:p w:rsidR="00000000" w:rsidDel="00000000" w:rsidP="00000000" w:rsidRDefault="00000000" w:rsidRPr="00000000" w14:paraId="00000213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Українська мова: Енциклопедія. 4-те вид. Київ: Українська енциклопедія, 2013.</w:t>
      </w:r>
    </w:p>
    <w:p w:rsidR="00000000" w:rsidDel="00000000" w:rsidP="00000000" w:rsidRDefault="00000000" w:rsidRPr="00000000" w14:paraId="00000214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Чемеркін С.Г. Українська мова в Інтернеті: позамовні та внутрішньоструктурні процеси. Київ: Інститут української мови НАН України, 2009. 240 с.</w:t>
      </w:r>
    </w:p>
    <w:p w:rsidR="00000000" w:rsidDel="00000000" w:rsidP="00000000" w:rsidRDefault="00000000" w:rsidRPr="00000000" w14:paraId="00000215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Шимчишин М. Російсько-українська війна і структура відчуття метамодернізму / Марія Шимчишин. // Сучасні літературознавчі студ. – 2022. – №19. – С. 57–62.</w:t>
      </w:r>
    </w:p>
    <w:p w:rsidR="00000000" w:rsidDel="00000000" w:rsidP="00000000" w:rsidRDefault="00000000" w:rsidRPr="00000000" w14:paraId="00000216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Шевченко Л.І. Тенденції розвитку української термінології в контексті проблеми мовного планування. Гуманітарна освіта в технічних вищих навчальних закладах: Зб. наук. пр. Київ: ІВЦ Держкомстату України. 2002. Вип. 2. С. 11–18.</w:t>
      </w:r>
    </w:p>
    <w:p w:rsidR="00000000" w:rsidDel="00000000" w:rsidP="00000000" w:rsidRDefault="00000000" w:rsidRPr="00000000" w14:paraId="00000217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Яцимірська М.Г. Медіатекст з погляду сучасної лінгвістичної парадигми. Зб. наук. Праць Науково-дослідного центру періодики. Львів, 2003, Вип. 11. С. 489 – 497.</w:t>
      </w:r>
    </w:p>
    <w:p w:rsidR="00000000" w:rsidDel="00000000" w:rsidP="00000000" w:rsidRDefault="00000000" w:rsidRPr="00000000" w14:paraId="00000218">
      <w:pPr>
        <w:widowControl w:val="1"/>
        <w:numPr>
          <w:ilvl w:val="0"/>
          <w:numId w:val="3"/>
        </w:numP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Крушельницька О. В. Методологія і організація наукових досліджень: навч. посіб. Київ: Кондор, 2006. 206 с.</w:t>
      </w:r>
    </w:p>
    <w:p w:rsidR="00000000" w:rsidDel="00000000" w:rsidP="00000000" w:rsidRDefault="00000000" w:rsidRPr="00000000" w14:paraId="00000219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Barthes R. Le plaisir du texte / Roland Barthes. – Paris: Éditions du Seuil, 1973. – 108 с.</w:t>
      </w:r>
    </w:p>
    <w:p w:rsidR="00000000" w:rsidDel="00000000" w:rsidP="00000000" w:rsidRDefault="00000000" w:rsidRPr="00000000" w14:paraId="0000021A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Bradbury M. The Modern British Novel / Malcom Bradbury. – London: Penguin Books, 1994. – 456 с. </w:t>
      </w:r>
    </w:p>
    <w:p w:rsidR="00000000" w:rsidDel="00000000" w:rsidP="00000000" w:rsidRDefault="00000000" w:rsidRPr="00000000" w14:paraId="0000021B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Burgless A. English Literarure / Anthony 4. Burgless. – Edinburgh, 2000. – 236 с.</w:t>
      </w:r>
    </w:p>
    <w:p w:rsidR="00000000" w:rsidDel="00000000" w:rsidP="00000000" w:rsidRDefault="00000000" w:rsidRPr="00000000" w14:paraId="0000021C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Cater R. The Routledge History of Literature in England / R. Cater, J. McRae. – New York, 1997. – 560 с.</w:t>
      </w:r>
    </w:p>
    <w:p w:rsidR="00000000" w:rsidDel="00000000" w:rsidP="00000000" w:rsidRDefault="00000000" w:rsidRPr="00000000" w14:paraId="0000021D">
      <w:pPr>
        <w:widowControl w:val="1"/>
        <w:numPr>
          <w:ilvl w:val="0"/>
          <w:numId w:val="3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Evans V., Green M. Cognitive Linguistics: An Introduction. Routledge, 2006.</w:t>
      </w:r>
    </w:p>
    <w:p w:rsidR="00000000" w:rsidDel="00000000" w:rsidP="00000000" w:rsidRDefault="00000000" w:rsidRPr="00000000" w14:paraId="0000021E">
      <w:pPr>
        <w:widowControl w:val="1"/>
        <w:numPr>
          <w:ilvl w:val="0"/>
          <w:numId w:val="3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Fulk, R.D. Philological methods / The Cambridge handbook of English historical linguistics / Edited by M.Kyto and P.Pahta. 2016, Cambridge University Press.</w:t>
      </w:r>
    </w:p>
    <w:p w:rsidR="00000000" w:rsidDel="00000000" w:rsidP="00000000" w:rsidRDefault="00000000" w:rsidRPr="00000000" w14:paraId="0000021F">
      <w:pPr>
        <w:widowControl w:val="1"/>
        <w:numPr>
          <w:ilvl w:val="0"/>
          <w:numId w:val="3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Gauch, H.G. Jr. Scientific Method in Brief. Cambridge University Press, 2012.</w:t>
      </w:r>
    </w:p>
    <w:p w:rsidR="00000000" w:rsidDel="00000000" w:rsidP="00000000" w:rsidRDefault="00000000" w:rsidRPr="00000000" w14:paraId="00000220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Josephson Storm J. Metamodernism: The Future of Theory / Jason Ānanda Josephson Storm. – Chicago: University of Chicago Press, 2021. – 328 с.</w:t>
      </w:r>
    </w:p>
    <w:p w:rsidR="00000000" w:rsidDel="00000000" w:rsidP="00000000" w:rsidRDefault="00000000" w:rsidRPr="00000000" w14:paraId="00000221">
      <w:pPr>
        <w:widowControl w:val="1"/>
        <w:numPr>
          <w:ilvl w:val="0"/>
          <w:numId w:val="3"/>
        </w:numPr>
        <w:ind w:left="1" w:hanging="3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Kuznyetsova A., Zinchenko O., Snikhovska I., Denysevych O., Velyka A. Gender Peculiarities of Modern English-Language Political Discourse. World Journal of English Language. Sciedu Press. Vol. 13, №6, 2023. doi:10.5430/wjel.v13n6p298</w:t>
      </w:r>
    </w:p>
    <w:p w:rsidR="00000000" w:rsidDel="00000000" w:rsidP="00000000" w:rsidRDefault="00000000" w:rsidRPr="00000000" w14:paraId="00000222">
      <w:pPr>
        <w:widowControl w:val="1"/>
        <w:numPr>
          <w:ilvl w:val="0"/>
          <w:numId w:val="3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Lakoff G., Johnson M. Metaphors We Live By. University of Chicago Press, 2003.</w:t>
      </w:r>
    </w:p>
    <w:p w:rsidR="00000000" w:rsidDel="00000000" w:rsidP="00000000" w:rsidRDefault="00000000" w:rsidRPr="00000000" w14:paraId="00000223">
      <w:pPr>
        <w:widowControl w:val="1"/>
        <w:numPr>
          <w:ilvl w:val="0"/>
          <w:numId w:val="3"/>
        </w:num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Lakoff G., Women, Fire, and Dangerous Things: What Categories Reveal About the Mind. University of Chicago Press, 1987.</w:t>
      </w:r>
    </w:p>
    <w:p w:rsidR="00000000" w:rsidDel="00000000" w:rsidP="00000000" w:rsidRDefault="00000000" w:rsidRPr="00000000" w14:paraId="00000224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Pratchett T. Imaginary worlds, real stories / Terry Pratchett. // Folklore. – Vol. 111. – No. 2. – Oct., 2000. – London, 2000. – P.159–168. </w:t>
      </w:r>
    </w:p>
    <w:p w:rsidR="00000000" w:rsidDel="00000000" w:rsidP="00000000" w:rsidRDefault="00000000" w:rsidRPr="00000000" w14:paraId="00000225">
      <w:pPr>
        <w:widowControl w:val="1"/>
        <w:numPr>
          <w:ilvl w:val="0"/>
          <w:numId w:val="3"/>
        </w:numPr>
        <w:spacing w:line="240" w:lineRule="auto"/>
        <w:ind w:left="1" w:hanging="3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Thornley G.C. and Roberts Gwyneth An Outline of English Literature. – Edinburgh, 2000. – 480 р.</w:t>
      </w:r>
    </w:p>
    <w:p w:rsidR="00000000" w:rsidDel="00000000" w:rsidP="00000000" w:rsidRDefault="00000000" w:rsidRPr="00000000" w14:paraId="00000226">
      <w:pPr>
        <w:widowControl w:val="1"/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1"/>
        <w:spacing w:line="240" w:lineRule="auto"/>
        <w:ind w:left="1" w:hanging="3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12. Інформаційні ресурси в Інтернеті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Селіванова О.О. Сучасна лінгвістика: напрями та проблеми: Підручник / МОН України. Полтава: Довкілля, 2008. 711 с. </w:t>
      </w:r>
      <w:hyperlink r:id="rId10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http://irbis-nbuv.gov.ua/ulib/item/UKR0001849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Методологія та організація наукових досліджень: навч. посіб. / І. С. Добронравова, О. В. Руденко, Л. І. Сидоренко та ін.; за ред. І. С. Добронравової (ч. 1), О. В. Руденко (ч. 2). Київ: ВПЦ «Київський університет», 2018. 607 с. </w:t>
      </w:r>
      <w:hyperlink r:id="rId11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http://www.philsci.univ.kiev.ua/biblio/Methodol.pdf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Основи методології та організації наукових досліджень: навч. посіб. для студентів, курсантів, аспірантів і ад’юнктів / за ред. А. Є. Конверського. Київ: ВПЦ «Київський університет», 2010. URL: </w:t>
      </w:r>
      <w:hyperlink r:id="rId12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http://www.immsp.kiev.ua/postgraduate/Biblioteka_trudy/Konversky_osn_metod_ta_org_nayk_dosl.2010.pdf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Добронравова І. С., Білоус Т. М., Комар О. В. Новітня філософія науки. Київ, 2009. URL: </w:t>
      </w:r>
      <w:hyperlink r:id="rId13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http://www.philsci.univ.kiev.ua/biblio/Dobr-bil-kom.htm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Добронравова І. С., Сидоренко Л. І. Філософія та методологія науки. Київ, 2008. URL: </w:t>
      </w:r>
      <w:hyperlink r:id="rId1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http://www.philsci.univ.kiev.ua/biblio/dobr-sidor.pdf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1"/>
        <w:spacing w:line="240" w:lineRule="auto"/>
        <w:ind w:left="1" w:hanging="3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Комар О. Концептуальна схема і екстерналістські семантики. Мовні і концептуальні картини світу. Київ: ВПЦ «Київський університет», 2012. C. 359-365: URL: </w:t>
      </w:r>
      <w:hyperlink r:id="rId15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http://www.philsci.univ.kiev.ua/biblio/komar-st.htm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1"/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Andersen, H., Hepburn, B. Scientific method URL: </w:t>
      </w:r>
      <w:hyperlink r:id="rId1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https://plato.stanford.edu/entries/scientific-method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 </w:t>
      </w:r>
      <w:r w:rsidDel="00000000" w:rsidR="00000000" w:rsidRPr="00000000">
        <w:rPr>
          <w:sz w:val="28"/>
          <w:szCs w:val="28"/>
          <w:rtl w:val="0"/>
        </w:rPr>
        <w:t xml:space="preserve">Dictionary and Thesaurus – Merriam-Webster Online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http://www.merriam-webster.com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Encyclodedia Britannica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https://www.britannica.com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British National Corpus </w:t>
      </w:r>
      <w:hyperlink r:id="rId1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http://www.natcorp.ox.ac.uk/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Online Etymology Dictionary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http://www.etymonline.com/index.php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 Project Gutenberg </w:t>
      </w:r>
      <w:hyperlink r:id="rId2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http://www.gutenberg.org/ebooks/12629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Online library </w:t>
      </w:r>
      <w:hyperlink r:id="rId2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https://www.questia.com/library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5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Історія світової літератури. Статті та матеріали</w:t>
      </w:r>
      <w:hyperlink r:id="rId23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http://www.ae-lib.org.ua/_lithistory.htm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Художня література</w:t>
      </w:r>
      <w:hyperlink r:id="rId25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http://www.ae-lib.org.ua/index.htm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Чтиво: Електронна бібліотека</w:t>
      </w:r>
      <w:hyperlink r:id="rId27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https://chtyvo.org.ua/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widowControl w:val="1"/>
        <w:numPr>
          <w:ilvl w:val="0"/>
          <w:numId w:val="1"/>
        </w:num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Український центр. Бібліотека</w:t>
      </w:r>
      <w:hyperlink r:id="rId29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http://ukrcenter.com/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widowControl w:val="1"/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1"/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pgSz w:h="16838" w:w="11906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38.0" w:type="dxa"/>
      <w:jc w:val="left"/>
      <w:tblInd w:w="-108.0" w:type="dxa"/>
      <w:tblLayout w:type="fixed"/>
      <w:tblLook w:val="0000"/>
    </w:tblPr>
    <w:tblGrid>
      <w:gridCol w:w="1644"/>
      <w:gridCol w:w="6178"/>
      <w:gridCol w:w="1816"/>
      <w:tblGridChange w:id="0">
        <w:tblGrid>
          <w:gridCol w:w="1644"/>
          <w:gridCol w:w="6178"/>
          <w:gridCol w:w="1816"/>
        </w:tblGrid>
      </w:tblGridChange>
    </w:tblGrid>
    <w:tr>
      <w:trPr>
        <w:cantSplit w:val="1"/>
        <w:trHeight w:val="567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Житомирська політехніка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4" w:val="single"/>
            <w:bottom w:color="000000" w:space="0" w:sz="6" w:val="single"/>
            <w:right w:color="000000" w:space="0" w:sz="6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МІНІСТЕРСТВО ОСВІТИ І НАУКИ УКРАЇНИ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right="-57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ДЕРЖАВНИЙ УНІВЕРСИТЕТ «ЖИТОМИРСЬКА ПОЛІТЕХНІКА»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Система управління якістю відповідає ДСТУ ISO 9001:2015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41">
          <w:pPr>
            <w:spacing w:line="240" w:lineRule="auto"/>
            <w:ind w:left="0" w:hanging="2"/>
            <w:jc w:val="center"/>
            <w:rPr/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Ф-31.05-04.02/035.00.1/Б/OК2-2023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27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4" w:val="single"/>
            <w:bottom w:color="000000" w:space="0" w:sz="6" w:val="single"/>
            <w:right w:color="000000" w:space="0" w:sz="6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i w:val="1"/>
              <w:color w:val="000000"/>
              <w:sz w:val="16"/>
              <w:szCs w:val="16"/>
              <w:rtl w:val="0"/>
            </w:rPr>
            <w:t xml:space="preserve">Екземпляр № 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spacing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i w:val="1"/>
              <w:color w:val="000000"/>
              <w:sz w:val="16"/>
              <w:szCs w:val="16"/>
              <w:rtl w:val="0"/>
            </w:rPr>
            <w:t xml:space="preserve">Арк 11 / </w:t>
          </w:r>
          <w:r w:rsidDel="00000000" w:rsidR="00000000" w:rsidRPr="00000000">
            <w:rPr>
              <w:i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hanging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firstLine="0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tymonline.com/index.php" TargetMode="External"/><Relationship Id="rId22" Type="http://schemas.openxmlformats.org/officeDocument/2006/relationships/hyperlink" Target="https://www.questia.com/library" TargetMode="External"/><Relationship Id="rId21" Type="http://schemas.openxmlformats.org/officeDocument/2006/relationships/hyperlink" Target="http://www.gutenberg.org/ebooks/12629" TargetMode="External"/><Relationship Id="rId24" Type="http://schemas.openxmlformats.org/officeDocument/2006/relationships/hyperlink" Target="http://www.ae-lib.org.ua/_lithistory.htm" TargetMode="External"/><Relationship Id="rId23" Type="http://schemas.openxmlformats.org/officeDocument/2006/relationships/hyperlink" Target="http://www.ae-lib.org.ua/_lithistory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syncretictimes.wordpress.com/2016/02/22/metamodernist-manifesto-ukrainian/" TargetMode="External"/><Relationship Id="rId26" Type="http://schemas.openxmlformats.org/officeDocument/2006/relationships/hyperlink" Target="http://www.ae-lib.org.ua/index.htm" TargetMode="External"/><Relationship Id="rId25" Type="http://schemas.openxmlformats.org/officeDocument/2006/relationships/hyperlink" Target="http://www.ae-lib.org.ua/index.htm" TargetMode="External"/><Relationship Id="rId28" Type="http://schemas.openxmlformats.org/officeDocument/2006/relationships/hyperlink" Target="https://chtyvo.org.ua/" TargetMode="External"/><Relationship Id="rId27" Type="http://schemas.openxmlformats.org/officeDocument/2006/relationships/hyperlink" Target="https://chtyvo.org.u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ukrcenter.com/" TargetMode="External"/><Relationship Id="rId7" Type="http://schemas.openxmlformats.org/officeDocument/2006/relationships/hyperlink" Target="http://www.ji.lviv.ua/n4texts/bart.htm" TargetMode="External"/><Relationship Id="rId8" Type="http://schemas.openxmlformats.org/officeDocument/2006/relationships/hyperlink" Target="https://thesyncretictimes.wordpress.com/2016/02/22/metamodernist-manifesto-ukrainian/" TargetMode="External"/><Relationship Id="rId31" Type="http://schemas.openxmlformats.org/officeDocument/2006/relationships/header" Target="header2.xml"/><Relationship Id="rId30" Type="http://schemas.openxmlformats.org/officeDocument/2006/relationships/hyperlink" Target="http://ukrcenter.com/" TargetMode="External"/><Relationship Id="rId11" Type="http://schemas.openxmlformats.org/officeDocument/2006/relationships/hyperlink" Target="http://www.philsci.univ.kiev.ua/biblio/Methodol.pdf" TargetMode="External"/><Relationship Id="rId10" Type="http://schemas.openxmlformats.org/officeDocument/2006/relationships/hyperlink" Target="http://irbis-nbuv.gov.ua/ulib/item/UKR0001849" TargetMode="External"/><Relationship Id="rId32" Type="http://schemas.openxmlformats.org/officeDocument/2006/relationships/header" Target="header1.xml"/><Relationship Id="rId13" Type="http://schemas.openxmlformats.org/officeDocument/2006/relationships/hyperlink" Target="http://www.philsci.univ.kiev.ua/biblio/Dobr-bil-kom.htm" TargetMode="External"/><Relationship Id="rId12" Type="http://schemas.openxmlformats.org/officeDocument/2006/relationships/hyperlink" Target="http://www.immsp.kiev.ua/postgraduate/Biblioteka_trudy/Konversky_osn_metod_ta_org_nayk_dosl.2010.pdf" TargetMode="External"/><Relationship Id="rId15" Type="http://schemas.openxmlformats.org/officeDocument/2006/relationships/hyperlink" Target="http://www.philsci.univ.kiev.ua/biblio/komar-st.htm" TargetMode="External"/><Relationship Id="rId14" Type="http://schemas.openxmlformats.org/officeDocument/2006/relationships/hyperlink" Target="http://www.philsci.univ.kiev.ua/biblio/dobr-sidor.pdf" TargetMode="External"/><Relationship Id="rId17" Type="http://schemas.openxmlformats.org/officeDocument/2006/relationships/hyperlink" Target="http://www.merriam-webster.com/" TargetMode="External"/><Relationship Id="rId16" Type="http://schemas.openxmlformats.org/officeDocument/2006/relationships/hyperlink" Target="https://plato.stanford.edu/entries/scientific-method" TargetMode="External"/><Relationship Id="rId19" Type="http://schemas.openxmlformats.org/officeDocument/2006/relationships/hyperlink" Target="http://www.natcorp.ox.ac.uk/" TargetMode="External"/><Relationship Id="rId18" Type="http://schemas.openxmlformats.org/officeDocument/2006/relationships/hyperlink" Target="https://www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MtrtrpsC28OWukcCKthIJ2dQg==">CgMxLjAyCGguZ2pkZ3hzMglpZC5namRneHMyCmlkLjFmb2I5dGUyCmlkLjN6bnlzaDcyCmlkLjJldDkycDAyCWlkLnR5amN3dDIKaWQuM2R5NnZrbTgAciExVTE2dDFwM0NrZi1HUGJ1VVU3TzFEc01OclU4U283YWc=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