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hint="default" w:cs="Times New Roman"/>
          <w:b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 w:eastAsia="uk-UA"/>
        </w:rPr>
        <w:t>Розподільча логістик</w:t>
      </w:r>
      <w:r>
        <w:rPr>
          <w:b/>
          <w:sz w:val="28"/>
          <w:szCs w:val="28"/>
          <w:lang w:val="ru-RU" w:eastAsia="uk-UA"/>
        </w:rPr>
        <w:t>а</w:t>
      </w:r>
    </w:p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2" w:firstLineChars="404"/>
        <w:jc w:val="center"/>
        <w:rPr>
          <w:rFonts w:hint="default"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Методичн</w:t>
      </w:r>
      <w:r>
        <w:rPr>
          <w:rFonts w:hint="default"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і рекомендації до практичного завдання:</w:t>
      </w:r>
    </w:p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2" w:firstLineChars="404"/>
        <w:jc w:val="center"/>
        <w:rPr>
          <w:rFonts w:hint="default" w:ascii="Times New Roman" w:hAnsi="Times New Roman" w:cs="Times New Roman"/>
          <w:b/>
          <w:bCs/>
          <w:i/>
          <w:color w:val="000000"/>
          <w:sz w:val="28"/>
          <w:szCs w:val="28"/>
          <w:highlight w:val="yellow"/>
          <w:lang w:val="uk-UA"/>
        </w:rPr>
      </w:pPr>
      <w:r>
        <w:rPr>
          <w:rFonts w:hint="default" w:cs="Times New Roman"/>
          <w:b/>
          <w:bCs/>
          <w:i/>
          <w:color w:val="000000"/>
          <w:sz w:val="28"/>
          <w:szCs w:val="28"/>
          <w:highlight w:val="yellow"/>
          <w:lang w:val="uk-UA"/>
        </w:rPr>
        <w:t>(самостійно зробити задача 1</w:t>
      </w:r>
      <w:r>
        <w:rPr>
          <w:rFonts w:hint="default" w:cs="Times New Roman"/>
          <w:b/>
          <w:bCs/>
          <w:i/>
          <w:color w:val="000000"/>
          <w:sz w:val="28"/>
          <w:szCs w:val="28"/>
          <w:highlight w:val="yellow"/>
          <w:lang w:val="ru-RU"/>
        </w:rPr>
        <w:t>,2,3</w:t>
      </w:r>
      <w:r>
        <w:rPr>
          <w:rFonts w:hint="default" w:cs="Times New Roman"/>
          <w:b/>
          <w:bCs/>
          <w:i/>
          <w:color w:val="000000"/>
          <w:sz w:val="28"/>
          <w:szCs w:val="28"/>
          <w:highlight w:val="yellow"/>
          <w:lang w:val="uk-UA"/>
        </w:rPr>
        <w:t>)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1. Економічний зміст, завдання, функції та принципи розподільчої логістики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Під поняттям розподілу розуміють перелік дій з: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упакування продукції;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експедиційного обслуговування;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управління збутом;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збереження на складі готової продукції постачальника;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складського господарство для готової продукції;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транспортування продукції до складу споживача;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транспортне господарство для перевезення готової продукції.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З цих позицій при використанні поняття “логістика дистрибуції” або “розподільча логістика” розуміють функціонування у сфері переміщення готової продукції, інколи включаючи логістику посередництва та торгівлі (продажу), оскільки продукція, особливо товари споживання на шляху від виробника до безпосереднього споживача, як правило, проходить ці фази.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b/>
          <w:iCs/>
          <w:sz w:val="24"/>
          <w:szCs w:val="24"/>
          <w:lang w:val="uk-UA" w:eastAsia="en-US"/>
        </w:rPr>
        <w:t>Об’єктом вивчення розподільчої логістики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Times New Roman,Italic"/>
          <w:sz w:val="24"/>
          <w:szCs w:val="24"/>
          <w:lang w:val="uk-UA" w:eastAsia="en-US"/>
        </w:rPr>
        <w:t xml:space="preserve">є матеріальний потік на стадії його руху від постачальника до споживача, а </w:t>
      </w:r>
      <w:r>
        <w:rPr>
          <w:rFonts w:eastAsia="Times New Roman,Italic"/>
          <w:b/>
          <w:iCs/>
          <w:sz w:val="24"/>
          <w:szCs w:val="24"/>
          <w:lang w:val="uk-UA" w:eastAsia="en-US"/>
        </w:rPr>
        <w:t>предметом</w:t>
      </w:r>
      <w:r>
        <w:rPr>
          <w:rFonts w:eastAsia="Times New Roman,Italic"/>
          <w:b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Times New Roman,Italic"/>
          <w:sz w:val="24"/>
          <w:szCs w:val="24"/>
          <w:lang w:val="uk-UA" w:eastAsia="en-US"/>
        </w:rPr>
        <w:t>є організація раціонального процесу доведення товару до споживача.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sz w:val="24"/>
          <w:szCs w:val="24"/>
          <w:lang w:val="uk-UA" w:eastAsia="en-US"/>
        </w:rPr>
        <w:t xml:space="preserve">Розрізняють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комерційний, канальний </w:t>
      </w:r>
      <w:r>
        <w:rPr>
          <w:rFonts w:eastAsia="Times New Roman,Italic"/>
          <w:sz w:val="24"/>
          <w:szCs w:val="24"/>
          <w:lang w:val="uk-UA" w:eastAsia="en-US"/>
        </w:rPr>
        <w:t xml:space="preserve">та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>фізичний розподіл</w:t>
      </w:r>
      <w:r>
        <w:rPr>
          <w:rFonts w:eastAsia="Times New Roman,Italic"/>
          <w:sz w:val="24"/>
          <w:szCs w:val="24"/>
          <w:lang w:val="uk-UA" w:eastAsia="en-US"/>
        </w:rPr>
        <w:t>.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b/>
          <w:bCs/>
          <w:iCs/>
          <w:sz w:val="24"/>
          <w:szCs w:val="24"/>
          <w:lang w:val="uk-UA" w:eastAsia="en-US"/>
        </w:rPr>
        <w:t>Комерційний розподіл</w:t>
      </w:r>
      <w:r>
        <w:rPr>
          <w:rFonts w:eastAsia="Times New Roman,Italic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Times New Roman,Italic"/>
          <w:sz w:val="24"/>
          <w:szCs w:val="24"/>
          <w:lang w:val="uk-UA" w:eastAsia="en-US"/>
        </w:rPr>
        <w:t>охоплює функції планування, аналізу, контролю та регулювання товароруху, тобто управління товарорухом.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Фізичний розподіл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логістика розуміє традиційно – як функції збереження, транспортування, складування, переробки та ін.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Cs/>
          <w:i/>
          <w:iCs/>
          <w:sz w:val="24"/>
          <w:szCs w:val="24"/>
          <w:lang w:val="uk-UA" w:eastAsia="en-US"/>
        </w:rPr>
        <w:t>Розподільча логістика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– </w:t>
      </w:r>
      <w:r>
        <w:rPr>
          <w:rFonts w:eastAsia="Calibri"/>
          <w:sz w:val="24"/>
          <w:szCs w:val="24"/>
          <w:lang w:val="uk-UA" w:eastAsia="en-US"/>
        </w:rPr>
        <w:t>це частина загальної логістичної системи, яка забезпечує найбільш ефективну організацію розподілу продукції, охоплюючи систему товароруху і виконуючи логістичні операції транспортування, складування, упакування та ін.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Склад завдань розподільчої логістики поділяється на два рівні – завдання внутрішньої та зовнішньої розподільчої логістики (табл. 17).</w:t>
      </w:r>
    </w:p>
    <w:p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Таблиця 17 </w:t>
      </w:r>
    </w:p>
    <w:p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Завдання внутрішньої та зовнішньої розподільчої логістики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4"/>
        <w:gridCol w:w="4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Завдання внутрішньої розподільчої логістики</w:t>
            </w:r>
          </w:p>
        </w:tc>
        <w:tc>
          <w:tcPr>
            <w:tcW w:w="4784" w:type="dxa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Завдання зовнішньої розподільчої логістики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1) організація отримання та обробки замовлення;</w:t>
            </w:r>
          </w:p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2) планування процесу реалізації;</w:t>
            </w:r>
          </w:p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3) вибір виду упаковки, прийняття рішення про комплектацію, а також організація виконання інших операцій, що безпосередньо передують відвантаженню;</w:t>
            </w:r>
          </w:p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4) організація відвантаження продукції;</w:t>
            </w:r>
          </w:p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5) організація доставки та контролю за транспортуванням;</w:t>
            </w:r>
          </w:p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6) організація після продажного обслуговування.</w:t>
            </w:r>
          </w:p>
        </w:tc>
        <w:tc>
          <w:tcPr>
            <w:tcW w:w="4784" w:type="dxa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1) вибір архітектури каналу товароруху;</w:t>
            </w:r>
          </w:p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2) організація роботи з учасниками каналу;</w:t>
            </w:r>
          </w:p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3) вибір стратегії розподілу готової</w:t>
            </w:r>
          </w:p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продукції;</w:t>
            </w:r>
          </w:p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4) вибір стратегії ціноутворення;</w:t>
            </w:r>
          </w:p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5) організація заходів з просування продукції на ринок;</w:t>
            </w:r>
          </w:p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6) контроль за станом ринку продукції підприємства та аналіз позицій продукції у цільових сегментах.</w:t>
            </w:r>
          </w:p>
        </w:tc>
      </w:tr>
    </w:tbl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2. Основні методи розподільчої логістики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Методи розподільчої логістики </w:t>
      </w:r>
      <w:r>
        <w:rPr>
          <w:rFonts w:eastAsia="Times New Roman,Italic"/>
          <w:sz w:val="24"/>
          <w:szCs w:val="24"/>
          <w:lang w:val="uk-UA" w:eastAsia="en-US"/>
        </w:rPr>
        <w:t>можна поєднати у дві групи: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sz w:val="24"/>
          <w:szCs w:val="24"/>
          <w:lang w:val="uk-UA" w:eastAsia="en-US"/>
        </w:rPr>
        <w:t>1) методи моделювання;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sz w:val="24"/>
          <w:szCs w:val="24"/>
          <w:lang w:val="uk-UA" w:eastAsia="en-US"/>
        </w:rPr>
        <w:t>2) методи мотивації.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sz w:val="24"/>
          <w:szCs w:val="24"/>
          <w:lang w:val="uk-UA" w:eastAsia="en-US"/>
        </w:rPr>
        <w:t xml:space="preserve">Необхідність широкого використання моделювання у розподільчій логістиці пояснюється як складністю збутової діяльності, так і основним засобом розподілу –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>логістичним моделюванням</w:t>
      </w:r>
      <w:r>
        <w:rPr>
          <w:rFonts w:eastAsia="Times New Roman,Italic"/>
          <w:sz w:val="24"/>
          <w:szCs w:val="24"/>
          <w:lang w:val="uk-UA" w:eastAsia="en-US"/>
        </w:rPr>
        <w:t xml:space="preserve">. У розподільчій логістиці успішно можуть бути використані такі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>моделі</w:t>
      </w:r>
      <w:r>
        <w:rPr>
          <w:rFonts w:eastAsia="Times New Roman,Italic"/>
          <w:sz w:val="24"/>
          <w:szCs w:val="24"/>
          <w:lang w:val="uk-UA" w:eastAsia="en-US"/>
        </w:rPr>
        <w:t>, як: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sz w:val="24"/>
          <w:szCs w:val="24"/>
          <w:lang w:val="uk-UA" w:eastAsia="en-US"/>
        </w:rPr>
        <w:t>- моделі теорії ігор;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sz w:val="24"/>
          <w:szCs w:val="24"/>
          <w:lang w:val="uk-UA" w:eastAsia="en-US"/>
        </w:rPr>
        <w:t>- моделі теорії черг або теорії масового обслуговування;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sz w:val="24"/>
          <w:szCs w:val="24"/>
          <w:lang w:val="uk-UA" w:eastAsia="en-US"/>
        </w:rPr>
        <w:t>- моделі управління запасами;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sz w:val="24"/>
          <w:szCs w:val="24"/>
          <w:lang w:val="uk-UA" w:eastAsia="en-US"/>
        </w:rPr>
        <w:t>- моделі лінійного програмування;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sz w:val="24"/>
          <w:szCs w:val="24"/>
          <w:lang w:val="uk-UA" w:eastAsia="en-US"/>
        </w:rPr>
        <w:t>- імітаційне моделювання тощо.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Усю множину логістичних моделей  можна уявити як сукупність фізичних, аналогових та математичних моделей.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Фізична модель</w:t>
      </w:r>
      <w:r>
        <w:rPr>
          <w:rFonts w:eastAsia="Calibri"/>
          <w:sz w:val="24"/>
          <w:szCs w:val="24"/>
          <w:lang w:val="uk-UA" w:eastAsia="en-US"/>
        </w:rPr>
        <w:t xml:space="preserve"> дозволяє уявити процес (явище), що вивчається, як правило, в мініатюрі.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Аналогова модель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подає розподільчу логістику через аналог, що сприймається як реальний збутовий процес, але не має вигляду такого. Це можуть бути графіки (сіткові графіки і моделі), рисунки (план-карти розміщення об’єктів), схеми (організаційні структури) тощо.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Математична модель</w:t>
      </w:r>
      <w:r>
        <w:rPr>
          <w:rFonts w:eastAsia="Calibri"/>
          <w:sz w:val="24"/>
          <w:szCs w:val="24"/>
          <w:lang w:val="uk-UA" w:eastAsia="en-US"/>
        </w:rPr>
        <w:t xml:space="preserve">, або </w:t>
      </w:r>
      <w:r>
        <w:rPr>
          <w:rFonts w:eastAsia="Calibri"/>
          <w:b/>
          <w:bCs/>
          <w:iCs/>
          <w:sz w:val="24"/>
          <w:szCs w:val="24"/>
          <w:lang w:val="uk-UA" w:eastAsia="en-US"/>
        </w:rPr>
        <w:t>символічн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>а</w:t>
      </w:r>
      <w:r>
        <w:rPr>
          <w:rFonts w:eastAsia="Calibri"/>
          <w:sz w:val="24"/>
          <w:szCs w:val="24"/>
          <w:lang w:val="uk-UA" w:eastAsia="en-US"/>
        </w:rPr>
        <w:t>, будується на описі реального збутового процесу за допомогою певних символів, що характеризують всі основні ознаки системи. За наявності достатньої і достовірної інформації, швидкодіючої обчислювальної техніки і відповідного програмного забезпечення математичні моделі дають змогу досить точно моделювати як збутову діяльність підприємства в цілому, так і окремі її елементи (стадії).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3. Організація розподільчої логістики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Операційна система розподільчої логістики </w:t>
      </w:r>
      <w:r>
        <w:rPr>
          <w:rFonts w:eastAsia="Times New Roman,Italic"/>
          <w:sz w:val="24"/>
          <w:szCs w:val="24"/>
          <w:lang w:val="uk-UA" w:eastAsia="en-US"/>
        </w:rPr>
        <w:t>складається з трьох підсистем.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Переробна підсистема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безпосередньо виконує збутову роботу, перетворюючи сигнали ринку про платоспроможний попит споживачів (вхід системи) на необхідні ринку товари та послуги (вихід системи). Збутовий перетворювач (транслятор попиту) виконує операції з асортиментного завантаження виробництва, кількісного та якісного приймання готової продукції, організації її зберігання і підготовки до споживання, просування товарів на ринок каналами розподілу і товароруху, допродажного і післяпродажного обслуговування споживачів.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Підсистема забезпечення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створює матеріально-речові і фінансово-трудові умови для нормального функціонування переробної підсистеми. Вона містить: виробниче забезпечення збуту, у тому числі виробництво товарів і послуг за замовленнями споживачів, матеріально-технічне забезпечення збутової діяльності з урахуванням створення складів, транспортних, торговельних та інших комунікацій; фінансове забезпечення виробництва і реалізації продукції, зокрема фінансування рекламних кампаній; кадрове забезпечення збутових служб підприємств, у тому числі професійне навчання торгівельного персоналу.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Підсистема планування і контролю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може бути класифікована як управлінська підсистема в кібернетичній моделі розподільчої логістики. Вона виконує команди (плани, завдання) за інші (керовані) підсистеми, одержує інформацію про їх реакцію на керований вплив (зворотний зв’язок) і коригує поведінку учасників збутової діяльності відповідно до прийнятих цілей і завдань.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4. Концепція логістичного центру дистрибуції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Логістичний центр дистрибуції інтегрує діяльність учасників логістичних процесів, серед яких виробники, транспортники, дистрибуційні організації, торговельні організації, споживачі.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З погляду функціонального призначення в існує така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класифікація логістичних центрів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міжнародні логістичні центри дистрибуції (площа господарювання 100-150 га, радіус дії 500-800 км);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локальні логістичні центри дистрибуції як закінчення сучасної системи дистрибуційної мережі;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галузеві логістичні центри дистрибуції, сформовані для обслуговування певної галузі чи підприємців;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центри логістичних послуг як проміжна фаза в напрямку вищого рівня логістичних центрів дистрибуції.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9"/>
          <w:szCs w:val="29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Основні завдання центрів зумовлені необхідністю забезпечення: стандартизації транспортних та складських систем; автоматизації завдань з переміщення логістичних продуктів; інформатизації процесів прийняття рішень та інтеграції інформаційних систем; координації дій учасників дистрибуційної мережі</w:t>
      </w:r>
      <w:r>
        <w:rPr>
          <w:rFonts w:eastAsia="Calibri"/>
          <w:sz w:val="29"/>
          <w:szCs w:val="29"/>
          <w:lang w:val="uk-UA" w:eastAsia="en-US"/>
        </w:rPr>
        <w:t>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5. Логістичні системи розподільчої логістики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Під </w:t>
      </w:r>
      <w:r>
        <w:rPr>
          <w:rFonts w:eastAsia="Calibri"/>
          <w:b/>
          <w:bCs/>
          <w:iCs/>
          <w:sz w:val="24"/>
          <w:szCs w:val="24"/>
          <w:lang w:val="uk-UA" w:eastAsia="en-US"/>
        </w:rPr>
        <w:t>логістичною системою розподільчої логістики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слід розуміти сукупність взаємопов’язаних логістичних ланцюгів, що створюють організаційно-економічну єдність господарських суб’єктів, об’єднаних у збутовому процесі.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На рівні підприємства вона містить сукупність підсистем: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Матеріально-технічна підсистема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– це складське і тарне господарство, транспортні та інформаційні комунікації, засоби пакування і підготовки продукції до споживання, системи ремонту та обслуговування, а також інші матеріальні і технічні компоненти збутової діяльності.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Організаційно-економічна підсистема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ґрунтується на взаємодії планування, організації, контролю, оцінки, аналізу, регулювання збутової діяльності.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Соціально-психологічна підсистема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об’єднує такі взаємопов’язані елементи, як кадри, стимули, спонукальні мотиви, інтереси учасників збутового процесу тощо.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Нормативно-правова підсистема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створює нормативну базу логістичної системи і має в основі закони, підзаконні акти, а також внутрішні нормативи підприємства, що регламентують порядок організації збутової діяльності.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Cs/>
          <w:iCs/>
          <w:sz w:val="24"/>
          <w:szCs w:val="24"/>
          <w:lang w:val="uk-UA" w:eastAsia="en-US"/>
        </w:rPr>
        <w:t>Новим напрямком є використання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bCs/>
          <w:iCs/>
          <w:sz w:val="24"/>
          <w:szCs w:val="24"/>
          <w:lang w:val="uk-UA" w:eastAsia="en-US"/>
        </w:rPr>
        <w:t>системи управління та планування розподілу продукції DRP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(</w:t>
      </w:r>
      <w:r>
        <w:rPr>
          <w:rFonts w:eastAsia="Calibri"/>
          <w:i/>
          <w:iCs/>
          <w:sz w:val="24"/>
          <w:szCs w:val="24"/>
          <w:lang w:val="uk-UA" w:eastAsia="en-US"/>
        </w:rPr>
        <w:t xml:space="preserve">Distribution requirement planning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– </w:t>
      </w:r>
      <w:r>
        <w:rPr>
          <w:rFonts w:eastAsia="Calibri"/>
          <w:sz w:val="24"/>
          <w:szCs w:val="24"/>
          <w:lang w:val="uk-UA" w:eastAsia="en-US"/>
        </w:rPr>
        <w:t>планування розподілу), яка дає змогу не тільки враховувати кон’юнктуру ринку, а й активно впливати на неї. Ця система забезпечує стійкі зв’язки між постачанням, виробництвом та збутом продукції, застосовуючи елементи MRP.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hint="default" w:eastAsia="Calibri"/>
          <w:color w:val="000000"/>
          <w:sz w:val="24"/>
          <w:szCs w:val="24"/>
          <w:lang w:val="ru-RU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>Приклад</w:t>
      </w:r>
      <w:r>
        <w:rPr>
          <w:rFonts w:hint="default" w:eastAsia="Calibri"/>
          <w:b/>
          <w:bCs/>
          <w:color w:val="000000"/>
          <w:sz w:val="24"/>
          <w:szCs w:val="24"/>
          <w:lang w:val="ru-RU" w:eastAsia="en-US"/>
        </w:rPr>
        <w:t xml:space="preserve"> задада 1.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На території району розташовано 8 магазинів, які торгують продовольчими товарами, їх координати (у прямокутній системі координат), а також місячний вантажообіг наведені в табл. 18.</w:t>
      </w:r>
    </w:p>
    <w:p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Таблиця 18</w:t>
      </w:r>
    </w:p>
    <w:p>
      <w:pPr>
        <w:widowControl/>
        <w:autoSpaceDE w:val="0"/>
        <w:autoSpaceDN w:val="0"/>
        <w:spacing w:line="181" w:lineRule="atLeast"/>
        <w:jc w:val="center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>Вантажообіг і координати магазинів, які обслуговуються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946"/>
        <w:gridCol w:w="2835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Номер магазину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Координата Х, км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Координата Y, км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Товарообіг, т/міс.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23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41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48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59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36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27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60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34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67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7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81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29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8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106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45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30</w:t>
            </w:r>
          </w:p>
        </w:tc>
      </w:tr>
    </w:tbl>
    <w:p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На основі вихідних даних знайдемо координати точки (Хсклад, Yсклад), навколо якої рекомендовано організувати роботу розподільного складу.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Відповідно до розглянутого методу координати розподільного складу становитимуть:</w:t>
      </w:r>
    </w:p>
    <w:p>
      <w:pPr>
        <w:widowControl/>
        <w:autoSpaceDE w:val="0"/>
        <w:autoSpaceDN w:val="0"/>
        <w:spacing w:before="240" w:after="240" w:line="201" w:lineRule="atLeast"/>
        <w:jc w:val="center"/>
        <w:textAlignment w:val="auto"/>
        <w:rPr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Х = </w:t>
      </w:r>
      <m:oMath>
        <m:f>
          <m:fPr>
            <m:ctrlPr>
              <w:rPr>
                <w:rFonts w:ascii="Cambria Math" w:hAnsi="Cambria Math" w:eastAsia="Calibri"/>
                <w:i/>
                <w:color w:val="000000"/>
                <w:sz w:val="24"/>
                <w:szCs w:val="24"/>
                <w:lang w:val="uk-UA" w:eastAsia="en-US"/>
              </w:rPr>
            </m:ctrlPr>
          </m:fPr>
          <m:num>
            <m:r>
              <m:rPr/>
              <w:rPr>
                <w:rFonts w:ascii="Cambria Math" w:hAnsi="Cambria Math" w:eastAsia="Calibri"/>
                <w:color w:val="000000"/>
                <w:sz w:val="24"/>
                <w:szCs w:val="24"/>
                <w:lang w:val="uk-UA" w:eastAsia="en-US"/>
              </w:rPr>
              <m:t>15×10+10×23+20×48+5×36+10×10+20×67+45×81+30×106</m:t>
            </m:r>
            <m:ctrlPr>
              <w:rPr>
                <w:rFonts w:ascii="Cambria Math" w:hAnsi="Cambria Math" w:eastAsia="Calibri"/>
                <w:i/>
                <w:color w:val="000000"/>
                <w:sz w:val="24"/>
                <w:szCs w:val="24"/>
                <w:lang w:val="uk-UA" w:eastAsia="en-US"/>
              </w:rPr>
            </m:ctrlPr>
          </m:num>
          <m:den>
            <m:r>
              <m:rPr/>
              <w:rPr>
                <w:rFonts w:ascii="Cambria Math" w:hAnsi="Cambria Math" w:eastAsia="Calibri"/>
                <w:color w:val="000000"/>
                <w:sz w:val="24"/>
                <w:szCs w:val="24"/>
                <w:lang w:val="uk-UA" w:eastAsia="en-US"/>
              </w:rPr>
              <m:t>15+10+20+5+10+20+45+30</m:t>
            </m:r>
            <m:ctrlPr>
              <w:rPr>
                <w:rFonts w:ascii="Cambria Math" w:hAnsi="Cambria Math" w:eastAsia="Calibri"/>
                <w:i/>
                <w:color w:val="000000"/>
                <w:sz w:val="24"/>
                <w:szCs w:val="24"/>
                <w:lang w:val="uk-UA" w:eastAsia="en-US"/>
              </w:rPr>
            </m:ctrlPr>
          </m:den>
        </m:f>
      </m:oMath>
      <w:r>
        <w:rPr>
          <w:color w:val="000000"/>
          <w:sz w:val="24"/>
          <w:szCs w:val="24"/>
          <w:lang w:val="uk-UA" w:eastAsia="en-US"/>
        </w:rPr>
        <w:t xml:space="preserve"> = 66,35</w:t>
      </w:r>
    </w:p>
    <w:p>
      <w:pPr>
        <w:widowControl/>
        <w:autoSpaceDE w:val="0"/>
        <w:autoSpaceDN w:val="0"/>
        <w:spacing w:before="240" w:after="240" w:line="201" w:lineRule="atLeast"/>
        <w:jc w:val="center"/>
        <w:textAlignment w:val="auto"/>
        <w:rPr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Y = </w:t>
      </w:r>
      <m:oMath>
        <m:f>
          <m:fPr>
            <m:ctrlPr>
              <w:rPr>
                <w:rFonts w:ascii="Cambria Math" w:hAnsi="Cambria Math" w:eastAsia="Calibri"/>
                <w:i/>
                <w:color w:val="000000"/>
                <w:sz w:val="24"/>
                <w:szCs w:val="24"/>
                <w:lang w:val="uk-UA" w:eastAsia="en-US"/>
              </w:rPr>
            </m:ctrlPr>
          </m:fPr>
          <m:num>
            <m:r>
              <m:rPr/>
              <w:rPr>
                <w:rFonts w:ascii="Cambria Math" w:hAnsi="Cambria Math" w:eastAsia="Calibri"/>
                <w:color w:val="000000"/>
                <w:sz w:val="24"/>
                <w:szCs w:val="24"/>
                <w:lang w:val="uk-UA" w:eastAsia="en-US"/>
              </w:rPr>
              <m:t>15×10+10×41+20×59+5×27+10×34+20×20+45×29+30×45</m:t>
            </m:r>
            <m:ctrlPr>
              <w:rPr>
                <w:rFonts w:ascii="Cambria Math" w:hAnsi="Cambria Math" w:eastAsia="Calibri"/>
                <w:i/>
                <w:color w:val="000000"/>
                <w:sz w:val="24"/>
                <w:szCs w:val="24"/>
                <w:lang w:val="uk-UA" w:eastAsia="en-US"/>
              </w:rPr>
            </m:ctrlPr>
          </m:num>
          <m:den>
            <m:r>
              <m:rPr/>
              <w:rPr>
                <w:rFonts w:ascii="Cambria Math" w:hAnsi="Cambria Math" w:eastAsia="Calibri"/>
                <w:color w:val="000000"/>
                <w:sz w:val="24"/>
                <w:szCs w:val="24"/>
                <w:lang w:val="uk-UA" w:eastAsia="en-US"/>
              </w:rPr>
              <m:t>15+10+20+5+10+20+45+30</m:t>
            </m:r>
            <m:ctrlPr>
              <w:rPr>
                <w:rFonts w:ascii="Cambria Math" w:hAnsi="Cambria Math" w:eastAsia="Calibri"/>
                <w:i/>
                <w:color w:val="000000"/>
                <w:sz w:val="24"/>
                <w:szCs w:val="24"/>
                <w:lang w:val="uk-UA" w:eastAsia="en-US"/>
              </w:rPr>
            </m:ctrlPr>
          </m:den>
        </m:f>
      </m:oMath>
      <w:r>
        <w:rPr>
          <w:color w:val="000000"/>
          <w:sz w:val="24"/>
          <w:szCs w:val="24"/>
          <w:lang w:val="uk-UA" w:eastAsia="en-US"/>
        </w:rPr>
        <w:t xml:space="preserve"> = 34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hint="default" w:eastAsia="Calibri"/>
          <w:b/>
          <w:color w:val="000000"/>
          <w:sz w:val="24"/>
          <w:szCs w:val="24"/>
          <w:lang w:val="ru-RU" w:eastAsia="en-US"/>
        </w:rPr>
      </w:pPr>
      <w:r>
        <w:rPr>
          <w:rFonts w:eastAsia="Calibri"/>
          <w:b/>
          <w:color w:val="000000"/>
          <w:sz w:val="24"/>
          <w:szCs w:val="24"/>
          <w:lang w:val="uk-UA" w:eastAsia="en-US"/>
        </w:rPr>
        <w:t>Приклад</w:t>
      </w:r>
      <w:r>
        <w:rPr>
          <w:rFonts w:hint="default" w:eastAsia="Calibri"/>
          <w:b/>
          <w:color w:val="000000"/>
          <w:sz w:val="24"/>
          <w:szCs w:val="24"/>
          <w:lang w:val="ru-RU" w:eastAsia="en-US"/>
        </w:rPr>
        <w:t xml:space="preserve"> задача 2.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Виберіть для впровадження систему розподілу з трьох запропонованих, якщо для кожної із систем відомі значення таких параметрів (табл. 19). </w:t>
      </w:r>
    </w:p>
    <w:p>
      <w:pPr>
        <w:widowControl/>
        <w:tabs>
          <w:tab w:val="left" w:pos="7088"/>
        </w:tabs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Таблиця 19</w:t>
      </w:r>
    </w:p>
    <w:p>
      <w:pPr>
        <w:widowControl/>
        <w:tabs>
          <w:tab w:val="left" w:pos="7088"/>
        </w:tabs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Значення параметрів систем розподілу, що порівнюються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  <w:gridCol w:w="2007"/>
        <w:gridCol w:w="183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Показник </w:t>
            </w:r>
          </w:p>
        </w:tc>
        <w:tc>
          <w:tcPr>
            <w:tcW w:w="2007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Система 1</w:t>
            </w:r>
          </w:p>
        </w:tc>
        <w:tc>
          <w:tcPr>
            <w:tcW w:w="1833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Система 2</w:t>
            </w:r>
          </w:p>
        </w:tc>
        <w:tc>
          <w:tcPr>
            <w:tcW w:w="160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Система</w:t>
            </w:r>
            <w:r>
              <w:rPr>
                <w:rFonts w:hint="default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hint="default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Річні експлуатаційні витрати, ум.од./рік</w:t>
            </w:r>
            <w:r>
              <w:rPr>
                <w:rFonts w:hint="default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hint="default"/>
                <w:b/>
                <w:bCs/>
                <w:color w:val="000000"/>
                <w:sz w:val="24"/>
                <w:szCs w:val="24"/>
                <w:lang w:val="ru-RU" w:eastAsia="en-US"/>
              </w:rPr>
              <w:t>Векспл</w:t>
            </w:r>
          </w:p>
        </w:tc>
        <w:tc>
          <w:tcPr>
            <w:tcW w:w="2007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7050</w:t>
            </w:r>
          </w:p>
        </w:tc>
        <w:tc>
          <w:tcPr>
            <w:tcW w:w="1833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9020</w:t>
            </w:r>
          </w:p>
        </w:tc>
        <w:tc>
          <w:tcPr>
            <w:tcW w:w="160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hint="default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Річні транспортні витрати, ум.од./рік</w:t>
            </w:r>
            <w:r>
              <w:rPr>
                <w:rFonts w:hint="default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u-RU" w:eastAsia="en-US"/>
              </w:rPr>
              <w:t>Втранс</w:t>
            </w:r>
          </w:p>
        </w:tc>
        <w:tc>
          <w:tcPr>
            <w:tcW w:w="2007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3500</w:t>
            </w:r>
          </w:p>
        </w:tc>
        <w:tc>
          <w:tcPr>
            <w:tcW w:w="1833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4850</w:t>
            </w:r>
          </w:p>
        </w:tc>
        <w:tc>
          <w:tcPr>
            <w:tcW w:w="160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7040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Одноразові витрати, ум.од.</w:t>
            </w:r>
            <w:r>
              <w:rPr>
                <w:rFonts w:hint="default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en-US"/>
              </w:rPr>
              <w:t>Водн</w:t>
            </w:r>
          </w:p>
        </w:tc>
        <w:tc>
          <w:tcPr>
            <w:tcW w:w="2007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50000</w:t>
            </w:r>
          </w:p>
        </w:tc>
        <w:tc>
          <w:tcPr>
            <w:tcW w:w="1833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60000</w:t>
            </w:r>
          </w:p>
        </w:tc>
        <w:tc>
          <w:tcPr>
            <w:tcW w:w="160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Термін окупності системи, роки</w:t>
            </w:r>
            <w:r>
              <w:rPr>
                <w:rFonts w:hint="default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en-US"/>
              </w:rPr>
              <w:t>Ток</w:t>
            </w:r>
            <w: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007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5,2</w:t>
            </w:r>
          </w:p>
        </w:tc>
        <w:tc>
          <w:tcPr>
            <w:tcW w:w="1833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160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4,9</w:t>
            </w:r>
          </w:p>
        </w:tc>
      </w:tr>
    </w:tbl>
    <w:p>
      <w:pPr>
        <w:widowControl/>
        <w:autoSpaceDE w:val="0"/>
        <w:autoSpaceDN w:val="0"/>
        <w:spacing w:line="240" w:lineRule="auto"/>
        <w:jc w:val="left"/>
        <w:textAlignment w:val="auto"/>
        <w:rPr>
          <w:rFonts w:eastAsia="Calibri"/>
          <w:color w:val="000000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Для того щоб із запропонованих систем розподілу вибрати одну, слід визначити критерій вибору.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Запропоновані умови порівняння систем характеризують витрати, пов'язані з її організацією і функціонуванням. Однак ці витрати мають різні річні вимірювачі.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Отже, необхідно всі витрати звести до єдиного річного вимірювача, тоді критерієм вибору буде критерій «мінімум наведених витрат».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Зведені річні витрати системи розподілу визначимо за такою формулою: </w:t>
      </w:r>
    </w:p>
    <w:p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m:oMath>
        <m:sSub>
          <m:sSubPr>
            <m:ctrlPr>
              <w:rPr>
                <w:rFonts w:ascii="Cambria Math" w:hAnsi="Cambria Math" w:eastAsia="Calibri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eastAsia="Calibri"/>
                <w:color w:val="000000"/>
                <w:sz w:val="24"/>
                <w:szCs w:val="24"/>
                <w:lang w:val="uk-UA" w:eastAsia="en-US"/>
              </w:rPr>
              <m:t>В</m:t>
            </m:r>
            <m:ctrlPr>
              <w:rPr>
                <w:rFonts w:ascii="Cambria Math" w:hAnsi="Cambria Math" w:eastAsia="Calibri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e>
          <m:sub>
            <m:r>
              <m:rPr>
                <m:sty m:val="bi"/>
              </m:rPr>
              <w:rPr>
                <w:rFonts w:ascii="Cambria Math" w:hAnsi="Cambria Math" w:eastAsia="Calibri"/>
                <w:color w:val="000000"/>
                <w:sz w:val="24"/>
                <w:szCs w:val="24"/>
                <w:lang w:val="uk-UA" w:eastAsia="en-US"/>
              </w:rPr>
              <m:t>прив</m:t>
            </m:r>
            <m:ctrlPr>
              <w:rPr>
                <w:rFonts w:ascii="Cambria Math" w:hAnsi="Cambria Math" w:eastAsia="Calibri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sub>
        </m:sSub>
        <m:r>
          <m:rPr>
            <m:sty m:val="bi"/>
          </m:rPr>
          <w:rPr>
            <w:rFonts w:ascii="Cambria Math" w:hAnsi="Cambria Math" w:eastAsia="Calibri"/>
            <w:color w:val="000000"/>
            <w:sz w:val="24"/>
            <w:szCs w:val="24"/>
            <w:lang w:val="uk-UA" w:eastAsia="en-US"/>
          </w:rPr>
          <m:t xml:space="preserve">= </m:t>
        </m:r>
        <m:sSub>
          <m:sSubPr>
            <m:ctrlPr>
              <w:rPr>
                <w:rFonts w:ascii="Cambria Math" w:hAnsi="Cambria Math" w:eastAsia="Calibri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eastAsia="Calibri"/>
                <w:color w:val="000000"/>
                <w:sz w:val="24"/>
                <w:szCs w:val="24"/>
                <w:lang w:val="uk-UA" w:eastAsia="en-US"/>
              </w:rPr>
              <m:t>В</m:t>
            </m:r>
            <m:ctrlPr>
              <w:rPr>
                <w:rFonts w:ascii="Cambria Math" w:hAnsi="Cambria Math" w:eastAsia="Calibri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e>
          <m:sub>
            <m:r>
              <m:rPr>
                <m:sty m:val="bi"/>
              </m:rPr>
              <w:rPr>
                <w:rFonts w:ascii="Cambria Math" w:hAnsi="Cambria Math" w:eastAsia="Calibri"/>
                <w:color w:val="000000"/>
                <w:sz w:val="24"/>
                <w:szCs w:val="24"/>
                <w:lang w:val="uk-UA" w:eastAsia="en-US"/>
              </w:rPr>
              <m:t>експл</m:t>
            </m:r>
            <m:ctrlPr>
              <w:rPr>
                <w:rFonts w:ascii="Cambria Math" w:hAnsi="Cambria Math" w:eastAsia="Calibri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sub>
        </m:sSub>
        <m:r>
          <m:rPr>
            <m:sty m:val="bi"/>
          </m:rPr>
          <w:rPr>
            <w:rFonts w:ascii="Cambria Math" w:hAnsi="Cambria Math" w:eastAsia="Calibri"/>
            <w:color w:val="000000"/>
            <w:sz w:val="24"/>
            <w:szCs w:val="24"/>
            <w:lang w:val="uk-UA" w:eastAsia="en-US"/>
          </w:rPr>
          <m:t xml:space="preserve">+ </m:t>
        </m:r>
        <m:sSub>
          <m:sSubPr>
            <m:ctrlPr>
              <w:rPr>
                <w:rFonts w:ascii="Cambria Math" w:hAnsi="Cambria Math" w:eastAsia="Calibri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eastAsia="Calibri"/>
                <w:color w:val="000000"/>
                <w:sz w:val="24"/>
                <w:szCs w:val="24"/>
                <w:lang w:val="uk-UA" w:eastAsia="en-US"/>
              </w:rPr>
              <m:t>В</m:t>
            </m:r>
            <m:ctrlPr>
              <w:rPr>
                <w:rFonts w:ascii="Cambria Math" w:hAnsi="Cambria Math" w:eastAsia="Calibri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e>
          <m:sub>
            <m:r>
              <m:rPr>
                <m:sty m:val="bi"/>
              </m:rPr>
              <w:rPr>
                <w:rFonts w:ascii="Cambria Math" w:hAnsi="Cambria Math" w:eastAsia="Calibri"/>
                <w:color w:val="000000"/>
                <w:sz w:val="24"/>
                <w:szCs w:val="24"/>
                <w:lang w:val="uk-UA" w:eastAsia="en-US"/>
              </w:rPr>
              <m:t>трансп</m:t>
            </m:r>
            <m:ctrlPr>
              <w:rPr>
                <w:rFonts w:ascii="Cambria Math" w:hAnsi="Cambria Math" w:eastAsia="Calibri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sub>
        </m:sSub>
        <m:r>
          <m:rPr>
            <m:sty m:val="bi"/>
          </m:rPr>
          <w:rPr>
            <w:rFonts w:ascii="Cambria Math" w:hAnsi="Cambria Math" w:eastAsia="Calibri"/>
            <w:color w:val="000000"/>
            <w:sz w:val="24"/>
            <w:szCs w:val="24"/>
            <w:lang w:val="uk-UA" w:eastAsia="en-US"/>
          </w:rPr>
          <m:t xml:space="preserve">+ </m:t>
        </m:r>
        <m:f>
          <m:fPr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uk-UA" w:eastAsia="en-US"/>
                  </w:rPr>
                  <m:t>В</m:t>
                </m: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4"/>
                    <w:szCs w:val="24"/>
                    <w:lang w:val="uk-UA" w:eastAsia="en-US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uk-UA" w:eastAsia="en-US"/>
                  </w:rPr>
                  <m:t>одн</m:t>
                </m: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4"/>
                    <w:szCs w:val="24"/>
                    <w:lang w:val="uk-UA" w:eastAsia="en-US"/>
                  </w:rPr>
                </m:ctrlPr>
              </m:sub>
            </m:sSub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uk-UA" w:eastAsia="en-US"/>
                  </w:rPr>
                  <m:t>Т</m:t>
                </m: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4"/>
                    <w:szCs w:val="24"/>
                    <w:lang w:val="uk-UA" w:eastAsia="en-US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uk-UA" w:eastAsia="en-US"/>
                  </w:rPr>
                  <m:t>ок</m:t>
                </m: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4"/>
                    <w:szCs w:val="24"/>
                    <w:lang w:val="uk-UA" w:eastAsia="en-US"/>
                  </w:rPr>
                </m:ctrlPr>
              </m:sub>
            </m:sSub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  <w:szCs w:val="24"/>
                <w:lang w:val="uk-UA" w:eastAsia="en-US"/>
              </w:rPr>
            </m:ctrlPr>
          </m:den>
        </m:f>
      </m:oMath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>(8)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де </w:t>
      </w: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>Векспл</w:t>
      </w:r>
      <w:r>
        <w:rPr>
          <w:rFonts w:eastAsia="Calibri"/>
          <w:color w:val="000000"/>
          <w:sz w:val="24"/>
          <w:szCs w:val="24"/>
          <w:lang w:val="uk-UA" w:eastAsia="en-US"/>
        </w:rPr>
        <w:t xml:space="preserve"> – річні експлуатаційні витрати, ум.од. / рік;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hint="default"/>
          <w:color w:val="000000"/>
          <w:sz w:val="24"/>
          <w:szCs w:val="24"/>
          <w:lang w:val="ru-RU" w:eastAsia="en-US"/>
        </w:rPr>
      </w:pPr>
      <w:r>
        <w:rPr>
          <w:b/>
          <w:bCs/>
          <w:color w:val="000000"/>
          <w:sz w:val="24"/>
          <w:szCs w:val="24"/>
          <w:lang w:val="ru-RU" w:eastAsia="en-US"/>
        </w:rPr>
        <w:t>Втранс</w:t>
      </w:r>
      <w:r>
        <w:rPr>
          <w:rFonts w:hint="default"/>
          <w:b/>
          <w:bCs/>
          <w:color w:val="000000"/>
          <w:sz w:val="24"/>
          <w:szCs w:val="24"/>
          <w:lang w:val="ru-RU" w:eastAsia="en-US"/>
        </w:rPr>
        <w:t xml:space="preserve"> - </w:t>
      </w:r>
      <w:r>
        <w:rPr>
          <w:rFonts w:hint="default"/>
          <w:b w:val="0"/>
          <w:bCs w:val="0"/>
          <w:color w:val="000000"/>
          <w:sz w:val="24"/>
          <w:szCs w:val="24"/>
          <w:lang w:val="ru-RU" w:eastAsia="en-US"/>
        </w:rPr>
        <w:t>р</w:t>
      </w:r>
      <w:r>
        <w:rPr>
          <w:color w:val="000000"/>
          <w:sz w:val="24"/>
          <w:szCs w:val="24"/>
          <w:lang w:val="uk-UA" w:eastAsia="en-US"/>
        </w:rPr>
        <w:t>ічні транспортні витрати, ум.од./рік</w:t>
      </w:r>
      <w:r>
        <w:rPr>
          <w:rFonts w:hint="default"/>
          <w:color w:val="000000"/>
          <w:sz w:val="24"/>
          <w:szCs w:val="24"/>
          <w:lang w:val="ru-RU" w:eastAsia="en-US"/>
        </w:rPr>
        <w:t xml:space="preserve">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 xml:space="preserve">Водн </w:t>
      </w:r>
      <w:r>
        <w:rPr>
          <w:rFonts w:eastAsia="Calibri"/>
          <w:color w:val="000000"/>
          <w:sz w:val="24"/>
          <w:szCs w:val="24"/>
          <w:lang w:val="uk-UA" w:eastAsia="en-US"/>
        </w:rPr>
        <w:t xml:space="preserve">– одноразові витрати, ум.од.;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>Ток</w:t>
      </w:r>
      <w:r>
        <w:rPr>
          <w:rFonts w:eastAsia="Calibri"/>
          <w:color w:val="000000"/>
          <w:sz w:val="24"/>
          <w:szCs w:val="24"/>
          <w:lang w:val="uk-UA" w:eastAsia="en-US"/>
        </w:rPr>
        <w:t xml:space="preserve"> –  термін окупності системи, роки.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До експлуатаційних витрат у системі розподілу належать: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− витрати на утримання товарних запасів (витрати на зберігання, поточні витрати на утримання складів, страхування запасів та ін.);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− витрати на реалізацію товарної продукції (витрати на отримання товарних замовлень, витрати на оформлення замовлень, витрати на оформлення угод постачання, комунікаційні витрати та ін.);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− втрати внаслідок відсутності товарних запасів.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Таким чином, для реалізації вибираємо той варіант системи розподілу, який має мінімальне значення зведених річних витрат.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Підставимо у формулу вихідні дані, що характеризують усі системи розподілу: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Ззв1 = 7050 + 3500 + 50000/5,2 = 20165,4 ум.од./рік;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Ззв2 = 9020 + 4850 + 60000/5,5 = 24779,1 ум.од./рік;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Ззв3 = 6100 + 7040 + 40000/4,9 = 21303,3 ум.од./рік.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Відповідь: для впровадження вибираємо першу систему розподілу.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hint="default" w:eastAsia="Calibri"/>
          <w:b/>
          <w:color w:val="000000"/>
          <w:sz w:val="24"/>
          <w:szCs w:val="24"/>
          <w:lang w:val="ru-RU" w:eastAsia="en-US"/>
        </w:rPr>
      </w:pPr>
      <w:r>
        <w:rPr>
          <w:rFonts w:eastAsia="Calibri"/>
          <w:b/>
          <w:color w:val="000000"/>
          <w:sz w:val="24"/>
          <w:szCs w:val="24"/>
          <w:lang w:val="uk-UA" w:eastAsia="en-US"/>
        </w:rPr>
        <w:t>Приклад</w:t>
      </w:r>
      <w:r>
        <w:rPr>
          <w:rFonts w:hint="default" w:eastAsia="Calibri"/>
          <w:b/>
          <w:color w:val="000000"/>
          <w:sz w:val="24"/>
          <w:szCs w:val="24"/>
          <w:lang w:val="ru-RU" w:eastAsia="en-US"/>
        </w:rPr>
        <w:t xml:space="preserve"> задача 3. 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Визначимо доцільність вибору прямого або опосередкованого каналу розподілу за наступних умов. Обсяги збуту, які необхідно забезпечити – 10000000 грн. на місяць. Кількість споживачів – 600. Кількість контактів з кожним споживачем – 4 телефонні дзвінки на місяць. Кількість контактних дзвінків на день, яку може забезпечити один працівник відділу збуту – 10. Середня заробітна плата працівника відділу збуту – 16500 грн. на місяць. Складські та офісні витрати відділу збуту 1500000 грн. на місяць. Нарахування на заробітну плату працівників збуту - 22%. Надбавка торгового посередника на весь обсяг виконаних робіт – 10%.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>1. Визначимо кількість контактів, які має забезпечити відділ збуту за місяць: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Кконт.=600*4=</w:t>
      </w:r>
      <w:r>
        <w:rPr>
          <w:rFonts w:hint="default"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>2400 контактів;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>2. Розрахуємо кількість працівників відділу збуту, необхідних для забезпечення планової кількості контактів: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Пзб.</w:t>
      </w:r>
      <w:r>
        <w:rPr>
          <w:rFonts w:hint="default"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>=</w:t>
      </w:r>
      <w:r>
        <w:rPr>
          <w:rFonts w:hint="default"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>2400/(10*30)</w:t>
      </w:r>
      <w:r>
        <w:rPr>
          <w:rFonts w:hint="default"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>=</w:t>
      </w:r>
      <w:r>
        <w:rPr>
          <w:rFonts w:hint="default"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>8 осіб;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>3. Розрахуємо заробітну плату працівників відділу збуту: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ЗП</w:t>
      </w:r>
      <w:r>
        <w:rPr>
          <w:rFonts w:hint="default"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>=</w:t>
      </w:r>
      <w:r>
        <w:rPr>
          <w:rFonts w:hint="default"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>16500*1,22*8=161040 грн.;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>4. Розрахуємо сукупні витрати відділу збуту: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Взб</w:t>
      </w:r>
      <w:r>
        <w:rPr>
          <w:rFonts w:hint="default"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>=</w:t>
      </w:r>
      <w:r>
        <w:rPr>
          <w:rFonts w:hint="default"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>1500000+161040=1661040 грн.;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>5. Рівень витрат на збут складає: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РПзб.</w:t>
      </w:r>
      <w:r>
        <w:rPr>
          <w:rFonts w:hint="default"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>=</w:t>
      </w:r>
      <w:r>
        <w:rPr>
          <w:rFonts w:hint="default"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>1661040/10000000*100%=16,61%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Таким чином, рівень витрат на збут складає 16,61%, тоді як надбавка торгового посередника – 10%, що свідчить про доцільність вибору опосередкованого розподілу продукції.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</w:p>
    <w:p>
      <w:pPr>
        <w:autoSpaceDE w:val="0"/>
        <w:autoSpaceDN w:val="0"/>
        <w:spacing w:line="240" w:lineRule="auto"/>
        <w:ind w:firstLine="567"/>
        <w:textAlignment w:val="auto"/>
        <w:rPr>
          <w:rFonts w:cs="SchoolBookAC"/>
          <w:b/>
          <w:color w:val="000000"/>
          <w:sz w:val="28"/>
          <w:szCs w:val="28"/>
          <w:highlight w:val="yellow"/>
          <w:lang w:val="uk-UA"/>
        </w:rPr>
      </w:pPr>
      <w:r>
        <w:rPr>
          <w:rFonts w:cs="SchoolBookAC"/>
          <w:b/>
          <w:color w:val="000000"/>
          <w:sz w:val="28"/>
          <w:szCs w:val="28"/>
          <w:highlight w:val="yellow"/>
          <w:lang w:val="uk-UA"/>
        </w:rPr>
        <w:t>Задачі для самостійного вирішення: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>Задача № 1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У табл. 20 наведено вантажообіг і координати магазинів, що обслуговуються:</w:t>
      </w:r>
    </w:p>
    <w:p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Таблиця 20</w:t>
      </w:r>
    </w:p>
    <w:p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>Координати і вантажообіг магазинів, що обслуговуються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946"/>
        <w:gridCol w:w="240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Номер магазину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Координата Х, км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Координата Y, км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Вантажообіг, т/міс.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26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52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46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29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77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38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88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48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57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2946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96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19</w:t>
            </w:r>
          </w:p>
        </w:tc>
        <w:tc>
          <w:tcPr>
            <w:tcW w:w="2835" w:type="dxa"/>
          </w:tcPr>
          <w:p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</w:tr>
    </w:tbl>
    <w:p>
      <w:pPr>
        <w:widowControl/>
        <w:autoSpaceDE w:val="0"/>
        <w:autoSpaceDN w:val="0"/>
        <w:spacing w:line="240" w:lineRule="auto"/>
        <w:ind w:firstLine="284"/>
        <w:textAlignment w:val="auto"/>
        <w:rPr>
          <w:rFonts w:eastAsia="Calibri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284"/>
        <w:textAlignment w:val="auto"/>
        <w:rPr>
          <w:rFonts w:eastAsia="Calibri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color w:val="000000"/>
          <w:sz w:val="24"/>
          <w:szCs w:val="24"/>
          <w:lang w:val="uk-UA" w:eastAsia="en-US"/>
        </w:rPr>
      </w:pPr>
      <w:r>
        <w:rPr>
          <w:rFonts w:eastAsia="Calibri"/>
          <w:b/>
          <w:color w:val="000000"/>
          <w:sz w:val="24"/>
          <w:szCs w:val="24"/>
          <w:lang w:val="uk-UA" w:eastAsia="en-US"/>
        </w:rPr>
        <w:t>Задача № 2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Виберіть для впровадження систему розподілу з трьох запропонованих, якщо для кожної із систем відомі значення таких параметрів (табл. 21). </w:t>
      </w:r>
    </w:p>
    <w:p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Таблиця 21</w:t>
      </w:r>
    </w:p>
    <w:p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Значення параметрів систем розподілу, що порівнюються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2332"/>
        <w:gridCol w:w="1656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Показник 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Система 1</w:t>
            </w:r>
          </w:p>
        </w:tc>
        <w:tc>
          <w:tcPr>
            <w:tcW w:w="1701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Система 2</w:t>
            </w:r>
          </w:p>
        </w:tc>
        <w:tc>
          <w:tcPr>
            <w:tcW w:w="1808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Система3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Річні експлуатаційні витрати, ум.од./рік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6320</w:t>
            </w:r>
          </w:p>
        </w:tc>
        <w:tc>
          <w:tcPr>
            <w:tcW w:w="1701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7840</w:t>
            </w:r>
          </w:p>
        </w:tc>
        <w:tc>
          <w:tcPr>
            <w:tcW w:w="1808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Річні транспортні витрати, ум.од./рік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2800</w:t>
            </w:r>
          </w:p>
        </w:tc>
        <w:tc>
          <w:tcPr>
            <w:tcW w:w="1701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2850</w:t>
            </w:r>
          </w:p>
        </w:tc>
        <w:tc>
          <w:tcPr>
            <w:tcW w:w="1808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Одноразові витрати, ум.од.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60000</w:t>
            </w:r>
          </w:p>
        </w:tc>
        <w:tc>
          <w:tcPr>
            <w:tcW w:w="1701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50000</w:t>
            </w:r>
          </w:p>
        </w:tc>
        <w:tc>
          <w:tcPr>
            <w:tcW w:w="1808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Термін окупності системи, роки</w:t>
            </w:r>
          </w:p>
        </w:tc>
        <w:tc>
          <w:tcPr>
            <w:tcW w:w="240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5,5</w:t>
            </w:r>
          </w:p>
        </w:tc>
        <w:tc>
          <w:tcPr>
            <w:tcW w:w="1701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4,8</w:t>
            </w:r>
          </w:p>
        </w:tc>
        <w:tc>
          <w:tcPr>
            <w:tcW w:w="1808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5,7</w:t>
            </w:r>
          </w:p>
        </w:tc>
      </w:tr>
    </w:tbl>
    <w:p>
      <w:pPr>
        <w:widowControl/>
        <w:autoSpaceDE w:val="0"/>
        <w:autoSpaceDN w:val="0"/>
        <w:spacing w:line="240" w:lineRule="auto"/>
        <w:jc w:val="left"/>
        <w:textAlignment w:val="auto"/>
        <w:rPr>
          <w:rFonts w:eastAsia="Calibri"/>
          <w:color w:val="000000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284"/>
        <w:textAlignment w:val="auto"/>
        <w:rPr>
          <w:rFonts w:eastAsia="Calibri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284"/>
        <w:textAlignment w:val="auto"/>
        <w:rPr>
          <w:rFonts w:eastAsia="Calibri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color w:val="000000"/>
          <w:sz w:val="24"/>
          <w:szCs w:val="24"/>
          <w:lang w:val="uk-UA" w:eastAsia="en-US"/>
        </w:rPr>
      </w:pPr>
      <w:r>
        <w:rPr>
          <w:rFonts w:eastAsia="Calibri"/>
          <w:b/>
          <w:color w:val="000000"/>
          <w:sz w:val="24"/>
          <w:szCs w:val="24"/>
          <w:lang w:val="uk-UA" w:eastAsia="en-US"/>
        </w:rPr>
        <w:t>Задача № 3</w:t>
      </w: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Визначимо доцільність вибору прямого або опосередкованого каналу розподілу за наступних умов. Обсяги збуту, які необхідно забезпечити – 4 млн. грн. на місяць. Кількість споживачів – 800. Кількість контактів з кожним споживачем – 6 телефонні дзвінки на місяць. Кількість контактних дзвінків на день, яку може забезпечити один працівник відділу збуту – 8. Середня заробітна плата працівника відділу збуту – 15 тис. грн. на місяць. Складські та офісні витрати відділу збуту 200 тис. грн. на місяць. Нарахування на заробітну плату працівників збуту - 22%. Надбавка торгового посередника на весь обсяг виконаних робіт – 15%.</w:t>
      </w:r>
    </w:p>
    <w:p>
      <w:pPr>
        <w:widowControl/>
        <w:autoSpaceDE w:val="0"/>
        <w:autoSpaceDN w:val="0"/>
        <w:spacing w:line="240" w:lineRule="auto"/>
        <w:textAlignment w:val="auto"/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imes New Roman,Italic">
    <w:altName w:val="Yu Gothic UI"/>
    <w:panose1 w:val="00000000000000000000"/>
    <w:charset w:val="80"/>
    <w:family w:val="auto"/>
    <w:pitch w:val="default"/>
    <w:sig w:usb0="00000000" w:usb1="00000000" w:usb2="00000010" w:usb3="00000000" w:csb0="00020004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choolBookAC">
    <w:altName w:val="Calibri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E4"/>
    <w:rsid w:val="001151D2"/>
    <w:rsid w:val="00304B8A"/>
    <w:rsid w:val="006C0B77"/>
    <w:rsid w:val="008242FF"/>
    <w:rsid w:val="00870751"/>
    <w:rsid w:val="00922C48"/>
    <w:rsid w:val="009A6C0A"/>
    <w:rsid w:val="00A01AE4"/>
    <w:rsid w:val="00AE65FB"/>
    <w:rsid w:val="00B915B7"/>
    <w:rsid w:val="00DB2F8C"/>
    <w:rsid w:val="00EA59DF"/>
    <w:rsid w:val="00EE4070"/>
    <w:rsid w:val="00F12C76"/>
    <w:rsid w:val="00F96756"/>
    <w:rsid w:val="38CD76BE"/>
    <w:rsid w:val="45BC138C"/>
    <w:rsid w:val="5B75221C"/>
    <w:rsid w:val="67F4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ітка таблиці3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2324</Words>
  <Characters>13252</Characters>
  <Lines>110</Lines>
  <Paragraphs>31</Paragraphs>
  <TotalTime>9</TotalTime>
  <ScaleCrop>false</ScaleCrop>
  <LinksUpToDate>false</LinksUpToDate>
  <CharactersWithSpaces>15545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2022-11-30T11:41:00Z</dcterms:created>
  <dc:creator>Lenovo</dc:creator>
  <cp:lastModifiedBy>User</cp:lastModifiedBy>
  <dcterms:modified xsi:type="dcterms:W3CDTF">2023-11-22T13:36:14Z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E0AD546D3A7A4A08869D528D6CFAA752_13</vt:lpwstr>
  </property>
</Properties>
</file>