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814"/>
        <w:gridCol w:w="4814"/>
      </w:tblGrid>
      <w:tr w:rsidR="00EB0182" w:rsidRPr="006705FC">
        <w:tc>
          <w:tcPr>
            <w:tcW w:w="9628" w:type="dxa"/>
            <w:gridSpan w:val="2"/>
          </w:tcPr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університет «Житомирська політехніка»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Факультет комп’ютерно-інтегрованих технологій, мехатроніки і робототехніки</w:t>
            </w:r>
          </w:p>
          <w:p w:rsidR="00EB0182" w:rsidRDefault="00D6340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D6340F">
              <w:rPr>
                <w:sz w:val="28"/>
                <w:szCs w:val="28"/>
                <w:lang w:val="uk-UA" w:eastAsia="uk-UA"/>
              </w:rPr>
              <w:t>Кафедра робототехніки, електроенергетики та автоматизації ім. проф. Б.Б.</w:t>
            </w:r>
            <w:r>
              <w:rPr>
                <w:sz w:val="28"/>
                <w:szCs w:val="28"/>
                <w:lang w:val="uk-UA" w:eastAsia="uk-UA"/>
              </w:rPr>
              <w:t> </w:t>
            </w:r>
            <w:r w:rsidRPr="00D6340F">
              <w:rPr>
                <w:sz w:val="28"/>
                <w:szCs w:val="28"/>
                <w:lang w:val="uk-UA" w:eastAsia="uk-UA"/>
              </w:rPr>
              <w:t>Самотокіна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Спеціальності: 151 Автоматизація та комп’ютерно-інтегровані технології</w:t>
            </w:r>
          </w:p>
          <w:p w:rsidR="00EB0182" w:rsidRDefault="009274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Освітній рівень: «бакалавр»</w:t>
            </w:r>
          </w:p>
        </w:tc>
      </w:tr>
      <w:tr w:rsidR="00EB0182"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«ЗАТВЕРДЖУЮ»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Проректор з НПР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______А.В.Морозов</w:t>
            </w:r>
          </w:p>
          <w:p w:rsidR="00EB0182" w:rsidRDefault="009274AA" w:rsidP="00D634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«____»___________20</w:t>
            </w:r>
            <w:r w:rsidR="00FF706C">
              <w:rPr>
                <w:sz w:val="28"/>
                <w:szCs w:val="28"/>
                <w:lang w:val="en-US" w:eastAsia="en-US"/>
              </w:rPr>
              <w:t>2</w:t>
            </w:r>
            <w:r w:rsidR="00D6340F"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>р.</w:t>
            </w:r>
          </w:p>
        </w:tc>
        <w:tc>
          <w:tcPr>
            <w:tcW w:w="4814" w:type="dxa"/>
          </w:tcPr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Pr="00CC008F" w:rsidRDefault="009274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r w:rsidR="00DF1AF9" w:rsidRPr="00D6340F">
              <w:rPr>
                <w:sz w:val="28"/>
                <w:szCs w:val="28"/>
                <w:lang w:val="uk-UA" w:eastAsia="uk-UA"/>
              </w:rPr>
              <w:t>робототехніки, електроенергетики та автоматизації</w:t>
            </w:r>
            <w:r>
              <w:rPr>
                <w:sz w:val="28"/>
                <w:szCs w:val="28"/>
                <w:lang w:val="uk-UA"/>
              </w:rPr>
              <w:t xml:space="preserve"> ім. проф. Б.Б.</w:t>
            </w:r>
            <w:r w:rsidR="006705FC">
              <w:rPr>
                <w:sz w:val="28"/>
                <w:szCs w:val="28"/>
                <w:lang w:val="en-US"/>
              </w:rPr>
              <w:t> </w:t>
            </w:r>
            <w:r w:rsidR="00CC008F">
              <w:rPr>
                <w:sz w:val="28"/>
                <w:szCs w:val="28"/>
                <w:lang w:val="uk-UA"/>
              </w:rPr>
              <w:t>Самотокіна</w:t>
            </w:r>
            <w:bookmarkStart w:id="0" w:name="_GoBack"/>
            <w:bookmarkEnd w:id="0"/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протокол </w:t>
            </w:r>
            <w:r w:rsidR="00FF706C" w:rsidRPr="00FF706C">
              <w:rPr>
                <w:sz w:val="28"/>
                <w:szCs w:val="28"/>
                <w:lang w:val="uk-UA"/>
              </w:rPr>
              <w:t xml:space="preserve">№ </w:t>
            </w:r>
            <w:r w:rsidR="00D6340F">
              <w:rPr>
                <w:sz w:val="28"/>
                <w:szCs w:val="28"/>
                <w:lang w:val="uk-UA"/>
              </w:rPr>
              <w:t>_</w:t>
            </w:r>
            <w:r w:rsidR="00FF706C" w:rsidRPr="00FF706C">
              <w:rPr>
                <w:sz w:val="28"/>
                <w:szCs w:val="28"/>
                <w:lang w:val="uk-UA"/>
              </w:rPr>
              <w:t xml:space="preserve"> від «</w:t>
            </w:r>
            <w:r w:rsidR="00D6340F">
              <w:rPr>
                <w:sz w:val="28"/>
                <w:szCs w:val="28"/>
                <w:lang w:val="uk-UA"/>
              </w:rPr>
              <w:t>___</w:t>
            </w:r>
            <w:r w:rsidR="00FF706C" w:rsidRPr="00FF706C">
              <w:rPr>
                <w:sz w:val="28"/>
                <w:szCs w:val="28"/>
                <w:lang w:val="uk-UA"/>
              </w:rPr>
              <w:t>» серпня 202</w:t>
            </w:r>
            <w:r w:rsidR="00D6340F">
              <w:rPr>
                <w:sz w:val="28"/>
                <w:szCs w:val="28"/>
                <w:lang w:val="uk-UA"/>
              </w:rPr>
              <w:t>2</w:t>
            </w:r>
            <w:r w:rsidR="00FF706C" w:rsidRPr="00FF706C">
              <w:rPr>
                <w:sz w:val="28"/>
                <w:szCs w:val="28"/>
                <w:lang w:val="uk-UA"/>
              </w:rPr>
              <w:t>р.</w:t>
            </w: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кафедри ______А.Г. Ткачук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  <w:p w:rsidR="00EB0182" w:rsidRDefault="009274A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 20</w:t>
            </w:r>
            <w:r w:rsidR="00FF706C">
              <w:rPr>
                <w:sz w:val="28"/>
                <w:szCs w:val="28"/>
                <w:lang w:val="en-US"/>
              </w:rPr>
              <w:t>2</w:t>
            </w:r>
            <w:r w:rsidR="00D6340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EB0182" w:rsidRDefault="00EB0182">
            <w:pPr>
              <w:rPr>
                <w:sz w:val="28"/>
                <w:szCs w:val="28"/>
                <w:lang w:val="uk-UA"/>
              </w:rPr>
            </w:pPr>
          </w:p>
        </w:tc>
      </w:tr>
      <w:tr w:rsidR="00EB0182">
        <w:tc>
          <w:tcPr>
            <w:tcW w:w="9628" w:type="dxa"/>
            <w:gridSpan w:val="2"/>
          </w:tcPr>
          <w:p w:rsidR="00EB0182" w:rsidRDefault="001C5E43">
            <w:pPr>
              <w:jc w:val="center"/>
              <w:rPr>
                <w:sz w:val="28"/>
                <w:szCs w:val="28"/>
                <w:lang w:val="uk-UA"/>
              </w:rPr>
            </w:pPr>
            <w:r w:rsidRPr="008412DF">
              <w:rPr>
                <w:b/>
                <w:sz w:val="28"/>
                <w:szCs w:val="28"/>
                <w:lang w:val="uk-UA"/>
              </w:rPr>
              <w:t>Перелік питань</w:t>
            </w:r>
          </w:p>
          <w:p w:rsidR="00EB0182" w:rsidRPr="006705FC" w:rsidRDefault="001C5E4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з навчальної дисципліни </w:t>
            </w:r>
            <w:r w:rsidR="009274AA" w:rsidRPr="001C5E43">
              <w:rPr>
                <w:sz w:val="28"/>
                <w:szCs w:val="28"/>
                <w:u w:val="single"/>
                <w:lang w:val="uk-UA"/>
              </w:rPr>
              <w:t>Проектування систем автоматизації (</w:t>
            </w:r>
            <w:r w:rsidR="00FF706C" w:rsidRPr="001C5E43">
              <w:rPr>
                <w:sz w:val="28"/>
                <w:szCs w:val="28"/>
                <w:u w:val="single"/>
                <w:lang w:val="uk-UA"/>
              </w:rPr>
              <w:t>залік</w:t>
            </w:r>
            <w:r w:rsidR="009274AA" w:rsidRPr="001C5E43">
              <w:rPr>
                <w:sz w:val="28"/>
                <w:szCs w:val="28"/>
                <w:u w:val="single"/>
                <w:lang w:val="uk-UA"/>
              </w:rPr>
              <w:t>)</w:t>
            </w:r>
          </w:p>
          <w:p w:rsidR="001C5E43" w:rsidRDefault="001C5E43" w:rsidP="001C5E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спеціальністю 151 «Автоматизація та комп’ютерно-інтегровані технології»</w:t>
            </w:r>
          </w:p>
          <w:p w:rsidR="001C5E43" w:rsidRPr="001C5E43" w:rsidRDefault="001C5E43" w:rsidP="001C5E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освітнього ступеня «бакалавр»</w:t>
            </w:r>
          </w:p>
        </w:tc>
      </w:tr>
    </w:tbl>
    <w:p w:rsidR="00EB0182" w:rsidRDefault="00EB0182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9315"/>
      </w:tblGrid>
      <w:tr w:rsidR="00800AB5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B5" w:rsidRDefault="009174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питання</w:t>
            </w:r>
          </w:p>
        </w:tc>
      </w:tr>
      <w:tr w:rsidR="00800AB5" w:rsidTr="00800AB5">
        <w:trPr>
          <w:cantSplit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Default="00800A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аналогових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Аналогові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Дискретні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дискретних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Дискретні системи керування включають такі види: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Релейні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релейних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Імпульсні системи керування реалізуються на основі: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</w:t>
            </w:r>
            <w:r w:rsidRPr="00E932DB">
              <w:rPr>
                <w:sz w:val="28"/>
                <w:szCs w:val="28"/>
              </w:rPr>
              <w:t>4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чисто імпульсних системах керування всі сигнали є: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Цифрові системи керування включають такі види: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Комбінаційні схеми, побудовані на основі цифрових логічних схем, – це варіант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Схеми, побудовані на основі мікроконтролерів/мікропроцесорів, – це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варіанти реалізації 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цифрових систем керування включають такі варіанти архітектурної будови: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систем керування на основі МК/МП використовує такі засоби реалізації інформаційного зв’язку: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Програмно-апаратна реалізація локальних та розподілених систем керування на основі ПЛК використовує такі засоби реалізації інформаційного зв’язку: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систем керування на основі МК/МП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локальних та розподілених систем керування на основі ПЛК використовують такі засоби створення програмного забезпечення: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керуючих ЕОМ та робочих станцій використовують такі засоби створення програмного забезпечення: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Програмно-апаратні реалізації розподілених систем керування на основі телемеханічних систем і комплексів використовують такі засоби створення програмного забезпечення: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 таким пристроєм: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розрядність (біт):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(найбільш швидкодіюча модифікація)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швидкість перетворення (зразків / с):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види модифікацій: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наступний діапазон вхідної аналогової напруги: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7892-3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наступну величину часу перетворення (мкс):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вбудоване джерело опорної напруги: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виготовлена за наступним технологічним процесом: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має наступні режими видачі даних: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паралельному режимі видачі даних видає: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видачі даних видає: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 аналогової напруги +/-10В необхідно: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отримання на мікросхемі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7892-1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діапазону аналогової напруги +/-5В необхідно: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паралельному режимі при умові: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дані в послідовному режимі при умові: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Для зняття оцифрованих даних з мікросхеми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 послідовному режимі необхідно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починає перетворення при умові: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Мікросхема </w:t>
            </w:r>
            <w:r w:rsidRPr="00E932DB">
              <w:rPr>
                <w:bCs/>
                <w:sz w:val="28"/>
                <w:szCs w:val="28"/>
                <w:lang w:val="en-US"/>
              </w:rPr>
              <w:t>AD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7892 виробництва </w:t>
            </w:r>
            <w:r w:rsidRPr="00E932DB">
              <w:rPr>
                <w:bCs/>
                <w:sz w:val="28"/>
                <w:szCs w:val="28"/>
                <w:lang w:val="en-US"/>
              </w:rPr>
              <w:t>Analog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2DB">
              <w:rPr>
                <w:bCs/>
                <w:sz w:val="28"/>
                <w:szCs w:val="28"/>
                <w:lang w:val="en-US"/>
              </w:rPr>
              <w:t>Devices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видає імпульс при закінченні перетворення на вивод: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автоматизованого виробництва (підприємства) відносяться (оберіть найбільш повну, але коректну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До складових інфраструктури автоматизованого виробництва (підприємства) відносяться (оберіть найбільш повну відповідь):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Оберіть </w:t>
            </w:r>
            <w:r w:rsidRPr="00E932DB">
              <w:rPr>
                <w:bCs/>
                <w:i/>
                <w:iCs/>
                <w:sz w:val="28"/>
                <w:szCs w:val="28"/>
                <w:lang w:val="uk-UA"/>
              </w:rPr>
              <w:t>невірний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варіант визначення технологічного процесу: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“механізація”: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Відмінною рисою засобів механізації від засобів автоматизації є: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Відмінною рисою засобів автоматизації від засобів механізації </w:t>
            </w:r>
            <w:r w:rsidRPr="00E932DB">
              <w:rPr>
                <w:bCs/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є:</w:t>
            </w:r>
          </w:p>
        </w:tc>
      </w:tr>
      <w:tr w:rsidR="00800AB5" w:rsidRPr="003505E6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Оберіть вірний варіант визначення поняття “автоматизація”: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спорядження, предметів виробництва та виконавців для здійснення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функціонально взаємозв’язаних засобів технологічного спорядження для виконання в регламентованих умовах виробництва заданих технологічних процесів та операцій”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“сукупність усіх дій людей та знарядь виробництва, необхідних для виготовлення чи ремонту виробів” відповідає поняттю: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Визначення “частина виробничого процесу, що включає цілеспрямовані дії, пов’язані зі зміною та (або) визначенням стану предмета праці” відповідає поняттю: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 xml:space="preserve">Ефектом від впровадження автоматизованого керування технологічними процесами </w:t>
            </w:r>
            <w:r w:rsidRPr="00E932DB">
              <w:rPr>
                <w:i/>
                <w:sz w:val="28"/>
                <w:szCs w:val="28"/>
                <w:lang w:val="uk-UA"/>
              </w:rPr>
              <w:t>не</w:t>
            </w:r>
            <w:r w:rsidRPr="00E932DB">
              <w:rPr>
                <w:sz w:val="28"/>
                <w:szCs w:val="28"/>
                <w:lang w:val="uk-UA"/>
              </w:rPr>
              <w:t xml:space="preserve"> є наступне: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60.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Спосіб виконання функціональних схем автоматизації, при якому вказуються місця встановлення засобів автоматизації (щити, пульти контролю та керування), має назву:</w:t>
            </w: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Спосіб виконання функціональних схем автоматизації, при якому засоби автоматизації зображуються поблизу відбірних та приймальних пристроїв без зображень щитів, пультів контролю та керування, має назву: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наявність горизонтальної розділювальної лінії на умовних позначеннях приладів</w:t>
            </w:r>
          </w:p>
          <w:bookmarkStart w:id="1" w:name="_MON_1487708539"/>
          <w:bookmarkEnd w:id="1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5pt;height:40.9pt" o:ole="">
                  <v:imagedata r:id="rId6" o:title=""/>
                </v:shape>
                <o:OLEObject Type="Embed" ProgID="Word.Picture.8" ShapeID="_x0000_i1025" DrawAspect="Content" ObjectID="_1733154186" r:id="rId7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відсутність горизонтальної розділювальної лінії на умовних позначеннях приладів</w:t>
            </w:r>
          </w:p>
          <w:bookmarkStart w:id="2" w:name="_MON_1487709364"/>
          <w:bookmarkEnd w:id="2"/>
          <w:p w:rsidR="00800AB5" w:rsidRPr="00E932DB" w:rsidRDefault="00800AB5">
            <w:pPr>
              <w:ind w:left="709"/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6" type="#_x0000_t75" style="width:39.15pt;height:40.9pt" o:ole="">
                  <v:imagedata r:id="rId8" o:title=""/>
                </v:shape>
                <o:OLEObject Type="Embed" ProgID="Word.Picture.8" ShapeID="_x0000_i1026" DrawAspect="Content" ObjectID="_1733154187" r:id="rId9"/>
              </w:objec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означає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зона 1 на умовному позначенні приладу</w:t>
            </w:r>
          </w:p>
          <w:bookmarkStart w:id="3" w:name="_MON_1487711858"/>
          <w:bookmarkStart w:id="4" w:name="_MON_1487711742"/>
          <w:bookmarkEnd w:id="3"/>
          <w:bookmarkEnd w:id="4"/>
          <w:bookmarkStart w:id="5" w:name="_MON_1487711855"/>
          <w:bookmarkEnd w:id="5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431" w:dyaOrig="1314">
                <v:shape id="_x0000_i1027" type="#_x0000_t75" style="width:49.55pt;height:46.1pt" o:ole="">
                  <v:imagedata r:id="rId10" o:title=""/>
                </v:shape>
                <o:OLEObject Type="Embed" ProgID="Word.Picture.8" ShapeID="_x0000_i1027" DrawAspect="Content" ObjectID="_1733154188" r:id="rId1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призначена для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по місцю, тобто безпосередньо біля відбірних та приймальних пристроїв,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6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прилад, що встановлюється на щитах та пультах у центральних або місцевих операторних приміщеннях, позначається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загальне позначення виконавчого механізму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</w:t>
            </w:r>
            <w:r w:rsidRPr="00E932DB">
              <w:rPr>
                <w:sz w:val="28"/>
                <w:szCs w:val="28"/>
              </w:rPr>
              <w:t>8</w:t>
            </w:r>
            <w:r w:rsidRPr="00E932D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відкриває регулюючий орган, а при увімкненні – закриває,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6705FC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позначення виконавчого механізму, що при вимкненні енергії (керуючого сигналу) закриває регулюючий орган, а при увімкненні – відкриває, є наступним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6" w:name="_MON_1482777735"/>
          <w:bookmarkEnd w:id="6"/>
          <w:bookmarkStart w:id="7" w:name="_MON_1482777049"/>
          <w:bookmarkEnd w:id="7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8" type="#_x0000_t75" style="width:39.15pt;height:40.9pt" o:ole="">
                  <v:imagedata r:id="rId12" o:title=""/>
                </v:shape>
                <o:OLEObject Type="Embed" ProgID="Word.Picture.8" ShapeID="_x0000_i1028" DrawAspect="Content" ObjectID="_1733154189" r:id="rId1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8" w:name="_MON_1487710927"/>
          <w:bookmarkEnd w:id="8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29" type="#_x0000_t75" style="width:39.15pt;height:40.9pt" o:ole="">
                  <v:imagedata r:id="rId14" o:title=""/>
                </v:shape>
                <o:OLEObject Type="Embed" ProgID="Word.Picture.8" ShapeID="_x0000_i1029" DrawAspect="Content" ObjectID="_1733154190" r:id="rId15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9" w:name="_MON_1487711155"/>
          <w:bookmarkEnd w:id="9"/>
          <w:bookmarkStart w:id="10" w:name="_MON_1487711056"/>
          <w:bookmarkEnd w:id="10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0" type="#_x0000_t75" style="width:39.15pt;height:40.9pt" o:ole="">
                  <v:imagedata r:id="rId16" o:title=""/>
                </v:shape>
                <o:OLEObject Type="Embed" ProgID="Word.Picture.8" ShapeID="_x0000_i1030" DrawAspect="Content" ObjectID="_1733154191" r:id="rId1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1" w:name="_MON_1487711243"/>
          <w:bookmarkEnd w:id="11"/>
          <w:p w:rsidR="00800AB5" w:rsidRPr="00E932DB" w:rsidRDefault="00800AB5">
            <w:pPr>
              <w:ind w:left="709"/>
              <w:jc w:val="both"/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1" type="#_x0000_t75" style="width:39.15pt;height:40.9pt" o:ole="">
                  <v:imagedata r:id="rId18" o:title=""/>
                </v:shape>
                <o:OLEObject Type="Embed" ProgID="Word.Picture.8" ShapeID="_x0000_i1031" DrawAspect="Content" ObjectID="_1733154192" r:id="rId1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 функціональних схемах автоматизації елемент</w:t>
            </w:r>
          </w:p>
          <w:bookmarkStart w:id="12" w:name="_MON_1487711490"/>
          <w:bookmarkEnd w:id="12"/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147" w:dyaOrig="1172">
                <v:shape id="_x0000_i1032" type="#_x0000_t75" style="width:39.15pt;height:40.9pt" o:ole="">
                  <v:imagedata r:id="rId20" o:title=""/>
                </v:shape>
                <o:OLEObject Type="Embed" ProgID="Word.Picture.8" ShapeID="_x0000_i1032" DrawAspect="Content" ObjectID="_1733154193" r:id="rId21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може означати: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bookmarkStart w:id="13" w:name="_MON_1482781695"/>
          <w:bookmarkStart w:id="14" w:name="_MON_1482781734"/>
          <w:bookmarkStart w:id="15" w:name="_MON_1482781854"/>
          <w:bookmarkStart w:id="16" w:name="_MON_1482781041"/>
          <w:bookmarkStart w:id="17" w:name="_MON_1482781338"/>
          <w:bookmarkStart w:id="18" w:name="_MON_1482781359"/>
          <w:bookmarkStart w:id="19" w:name="_MON_1482781416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Start w:id="20" w:name="_MON_1482781443"/>
          <w:bookmarkEnd w:id="20"/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3" type="#_x0000_t75" style="width:196.4pt;height:1in" o:ole="">
                  <v:imagedata r:id="rId22" o:title=""/>
                </v:shape>
                <o:OLEObject Type="Embed" ProgID="Word.Picture.8" ShapeID="_x0000_i1033" DrawAspect="Content" ObjectID="_1733154194" r:id="rId23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5300" w:dyaOrig="1280">
                <v:shape id="_x0000_i1034" type="#_x0000_t75" style="width:212.55pt;height:50.7pt" o:ole="">
                  <v:imagedata r:id="rId24" o:title=""/>
                </v:shape>
                <o:OLEObject Type="Embed" ProgID="Equation.3" ShapeID="_x0000_i1034" DrawAspect="Content" ObjectID="_1733154195" r:id="rId25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5" type="#_x0000_t75" style="width:196.4pt;height:1in" o:ole="">
                  <v:imagedata r:id="rId22" o:title=""/>
                </v:shape>
                <o:OLEObject Type="Embed" ProgID="Word.Picture.8" ShapeID="_x0000_i1035" DrawAspect="Content" ObjectID="_1733154196" r:id="rId26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1860" w:dyaOrig="820">
                <v:shape id="_x0000_i1036" type="#_x0000_t75" style="width:93.3pt;height:41.45pt" o:ole="">
                  <v:imagedata r:id="rId27" o:title=""/>
                </v:shape>
                <o:OLEObject Type="Embed" ProgID="Equation.3" ShapeID="_x0000_i1036" DrawAspect="Content" ObjectID="_1733154197" r:id="rId28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реалізує такий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77.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37" type="#_x0000_t75" style="width:196.4pt;height:1in" o:ole="">
                  <v:imagedata r:id="rId22" o:title=""/>
                </v:shape>
                <o:OLEObject Type="Embed" ProgID="Word.Picture.8" ShapeID="_x0000_i1037" DrawAspect="Content" ObjectID="_1733154198" r:id="rId29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440" w:dyaOrig="1780">
                <v:shape id="_x0000_i1038" type="#_x0000_t75" style="width:172.8pt;height:89.3pt" o:ole="">
                  <v:imagedata r:id="rId30" o:title=""/>
                </v:shape>
                <o:OLEObject Type="Embed" ProgID="Equation.3" ShapeID="_x0000_i1038" DrawAspect="Content" ObjectID="_1733154199" r:id="rId31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39" type="#_x0000_t75" style="width:20.15pt;height:15pt" o:ole="">
                  <v:imagedata r:id="rId32" o:title=""/>
                </v:shape>
                <o:OLEObject Type="Embed" ProgID="Equation.3" ShapeID="_x0000_i1039" DrawAspect="Content" ObjectID="_1733154200" r:id="rId33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>– тривалість основного циклу контролера):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системі керування рівнем рідини h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П</w: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з програмним регулятором Р, робочим органом (керованим клапаном) РО та ємністю з рідиною (об’єктом керування) ОК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4408" w:dyaOrig="1597">
                <v:shape id="_x0000_i1040" type="#_x0000_t75" style="width:196.4pt;height:1in" o:ole="">
                  <v:imagedata r:id="rId22" o:title=""/>
                </v:shape>
                <o:OLEObject Type="Embed" ProgID="Word.Picture.8" ShapeID="_x0000_i1040" DrawAspect="Content" ObjectID="_1733154201" r:id="rId34"/>
              </w:objec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наступний алгоритм розрахунку керуючого впливу (положення впускної заслінки) L</w:t>
            </w:r>
            <w:r w:rsidRPr="00E932DB">
              <w:rPr>
                <w:bCs/>
                <w:sz w:val="28"/>
                <w:szCs w:val="28"/>
                <w:vertAlign w:val="subscript"/>
                <w:lang w:val="uk-UA"/>
              </w:rPr>
              <w:t>ЗС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object w:dxaOrig="3739" w:dyaOrig="2659">
                <v:shape id="_x0000_i1041" type="#_x0000_t75" style="width:187.8pt;height:133.05pt" o:ole="">
                  <v:imagedata r:id="rId35" o:title=""/>
                </v:shape>
                <o:OLEObject Type="Embed" ProgID="Equation.3" ShapeID="_x0000_i1041" DrawAspect="Content" ObjectID="_1733154202" r:id="rId36"/>
              </w:object>
            </w:r>
          </w:p>
          <w:p w:rsidR="00800AB5" w:rsidRPr="00E932DB" w:rsidRDefault="00800AB5">
            <w:pPr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реалізує такий закон керування (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400" w:dyaOrig="300">
                <v:shape id="_x0000_i1042" type="#_x0000_t75" style="width:20.15pt;height:15pt" o:ole="">
                  <v:imagedata r:id="rId32" o:title=""/>
                </v:shape>
                <o:OLEObject Type="Embed" ProgID="Equation.3" ShapeID="_x0000_i1042" DrawAspect="Content" ObjectID="_1733154203" r:id="rId37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– тривалість основного циклу контролера, </w:t>
            </w:r>
            <w:r w:rsidRPr="00E932DB">
              <w:rPr>
                <w:bCs/>
                <w:sz w:val="28"/>
                <w:szCs w:val="28"/>
                <w:lang w:val="uk-UA"/>
              </w:rPr>
              <w:object w:dxaOrig="800" w:dyaOrig="360">
                <v:shape id="_x0000_i1043" type="#_x0000_t75" style="width:40.3pt;height:17.85pt" o:ole="">
                  <v:imagedata r:id="rId38" o:title=""/>
                </v:shape>
                <o:OLEObject Type="Embed" ProgID="Equation.3" ShapeID="_x0000_i1043" DrawAspect="Content" ObjectID="_1733154204" r:id="rId39"/>
              </w:object>
            </w:r>
            <w:r w:rsidRPr="00E932DB">
              <w:rPr>
                <w:bCs/>
                <w:sz w:val="28"/>
                <w:szCs w:val="28"/>
                <w:lang w:val="uk-UA"/>
              </w:rPr>
              <w:t xml:space="preserve"> – попереднє значення помилки системи):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У випадку, коли виконуються наступні вимоги – виконавчий механізм може приймати багато станів (змінювати інтенсивність своєї роботи), є допустимим певне постійне відхилення дійсного значення керованої величини від заданого, керована величина є проміжною координатою в системі керування (не є вихідним керованим параметром), об’єкт керування не є досить інерційним – доцільно обрати наступний закон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керування: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відсутні вимоги щодо швидкодії регулятора – доцільно обрати наступний закон керування: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81.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багато станів (змінювати інтенсивність своєї роботи), є недопустимим постійне відхилення дійсного значення керованої величини від заданого та керована величина є результуючим керованим параметром в системі керування, об’єкт керування не є досить інерційним, бажано підвищити швидкість регулювання – доцільно обрати наступний закон керування: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об’єкт керування є досить інерційним, керування виконавчим механізмом з регулятора (мікроконтролера) реалізується лише одним сигнальним провідником (крім нульового), що може мати лише два рівні сигналу, допустимим є тимчасові періодичні відхилення дійсного значення керованої величини від заданого, бажано спростити алгоритм керування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 наступному випадку немає обов’язкової потреби замінювати релейний закон керування одним з неперервних: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У випадку, коли виконуються наступні вимоги – виконавчий механізм може приймати (і миттєво, і усереднено) лише два стани (ввімкнено/вимкнено), об’єкт керування є досить інерційним – доцільно обрати наступний закон керування: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дискретний виконавчий механізм за релейним законом керування реалізується наступною структурною схемою (Д – датчик, Р – регулятор, Пс – підсилювач, Рл – релейний елемент, ВМ – виконавчий механізм):</w:t>
            </w:r>
          </w:p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сигналу з одного аналогового датчика в мікропроцесорній системі керування (мікроконтролер має аналогові входи) та видача керуючого впливу на виконавчий механізм з аналоговим входом за пропорційним законом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механізм):</w:t>
            </w:r>
          </w:p>
        </w:tc>
      </w:tr>
      <w:tr w:rsidR="00800AB5" w:rsidRPr="00E932DB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 xml:space="preserve">Введення сигналу з одного аналогового датчика в мікропроцесорній системі керування (мікроконтролер не має аналогових входів) та видача керуючого впливу на цифровий виконавчий механізм за пропорційним </w:t>
            </w:r>
            <w:r w:rsidRPr="00E932DB">
              <w:rPr>
                <w:bCs/>
                <w:sz w:val="28"/>
                <w:szCs w:val="28"/>
                <w:lang w:val="uk-UA"/>
              </w:rPr>
              <w:lastRenderedPageBreak/>
              <w:t>законом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механізм):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lastRenderedPageBreak/>
              <w:t>88.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аналоговими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цифровими входами за неперервними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  <w:tr w:rsidR="00800AB5" w:rsidRPr="00CC008F" w:rsidTr="00800AB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rPr>
                <w:sz w:val="28"/>
                <w:szCs w:val="28"/>
                <w:lang w:val="uk-UA"/>
              </w:rPr>
            </w:pPr>
            <w:r w:rsidRPr="00E932DB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B5" w:rsidRPr="00E932DB" w:rsidRDefault="00800A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932DB">
              <w:rPr>
                <w:bCs/>
                <w:sz w:val="28"/>
                <w:szCs w:val="28"/>
                <w:lang w:val="uk-UA"/>
              </w:rPr>
              <w:t>Введення сигналів з аналогових датчиків в мікропроцесорній системі керування (мікроконтролер не має аналогових входів) та видача керуючих впливів на виконавчі механізми з дискретними входами за релейними законами керування доцільно реалізувати наступною структурною схемою (Д – датчик, Р – регулятор, Пс – підсилювач, Рл – релейний елемент, ВМ – виконавчий механізм, КА – комутатор аналогових сигналів, КЦ – комутатор цифрових сигналів на регістрах):</w:t>
            </w:r>
          </w:p>
        </w:tc>
      </w:tr>
    </w:tbl>
    <w:p w:rsidR="009274AA" w:rsidRDefault="009274AA">
      <w:pPr>
        <w:rPr>
          <w:sz w:val="28"/>
          <w:szCs w:val="28"/>
          <w:lang w:val="uk-UA"/>
        </w:rPr>
      </w:pPr>
    </w:p>
    <w:sectPr w:rsidR="009274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72B9"/>
    <w:multiLevelType w:val="hybridMultilevel"/>
    <w:tmpl w:val="0286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C3"/>
    <w:rsid w:val="001C5E43"/>
    <w:rsid w:val="003505E6"/>
    <w:rsid w:val="005143D1"/>
    <w:rsid w:val="006705FC"/>
    <w:rsid w:val="00800AB5"/>
    <w:rsid w:val="0091745D"/>
    <w:rsid w:val="009274AA"/>
    <w:rsid w:val="00CC008F"/>
    <w:rsid w:val="00D6340F"/>
    <w:rsid w:val="00DF1AF9"/>
    <w:rsid w:val="00E932DB"/>
    <w:rsid w:val="00EB0182"/>
    <w:rsid w:val="00F202C3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Text1">
    <w:name w:val="Placeholder Text1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STV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creator>Пользователь Windows</dc:creator>
  <cp:lastModifiedBy>SASHA</cp:lastModifiedBy>
  <cp:revision>13</cp:revision>
  <dcterms:created xsi:type="dcterms:W3CDTF">2020-06-03T13:21:00Z</dcterms:created>
  <dcterms:modified xsi:type="dcterms:W3CDTF">2022-12-21T16:56:00Z</dcterms:modified>
</cp:coreProperties>
</file>