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240" w:lineRule="auto"/>
        <w:ind w:firstLine="567"/>
        <w:jc w:val="center"/>
        <w:textAlignment w:val="auto"/>
        <w:rPr>
          <w:rFonts w:hint="default"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Тема</w:t>
      </w:r>
      <w:r>
        <w:rPr>
          <w:rFonts w:hint="default" w:eastAsia="Calibri"/>
          <w:b/>
          <w:sz w:val="28"/>
          <w:szCs w:val="28"/>
          <w:lang w:val="uk-UA" w:eastAsia="en-US"/>
        </w:rPr>
        <w:t xml:space="preserve"> 7</w:t>
      </w:r>
      <w:r>
        <w:rPr>
          <w:rFonts w:eastAsia="Calibri"/>
          <w:b/>
          <w:sz w:val="28"/>
          <w:szCs w:val="28"/>
          <w:lang w:val="uk-UA" w:eastAsia="en-US"/>
        </w:rPr>
        <w:t>: Логістика складування</w:t>
      </w:r>
      <w:r>
        <w:rPr>
          <w:rFonts w:hint="default" w:eastAsia="Calibri"/>
          <w:b/>
          <w:sz w:val="28"/>
          <w:szCs w:val="28"/>
          <w:lang w:val="uk-UA" w:eastAsia="en-US"/>
        </w:rPr>
        <w:t xml:space="preserve"> (2ч.)</w:t>
      </w:r>
    </w:p>
    <w:p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2" w:firstLineChars="404"/>
        <w:jc w:val="center"/>
        <w:rPr>
          <w:rFonts w:hint="default"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Методичн</w:t>
      </w:r>
      <w:r>
        <w:rPr>
          <w:rFonts w:hint="default"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і рекомендації до практичного завдання:</w:t>
      </w:r>
    </w:p>
    <w:p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2" w:firstLineChars="404"/>
        <w:jc w:val="center"/>
        <w:rPr>
          <w:rFonts w:hint="default" w:ascii="Times New Roman" w:hAnsi="Times New Roman" w:cs="Times New Roman"/>
          <w:b/>
          <w:bCs/>
          <w:i/>
          <w:color w:val="auto"/>
          <w:sz w:val="28"/>
          <w:szCs w:val="28"/>
          <w:highlight w:val="yellow"/>
          <w:lang w:val="uk-UA"/>
        </w:rPr>
      </w:pPr>
      <w:r>
        <w:rPr>
          <w:rFonts w:hint="default" w:cs="Times New Roman"/>
          <w:b/>
          <w:bCs/>
          <w:i/>
          <w:color w:val="auto"/>
          <w:sz w:val="28"/>
          <w:szCs w:val="28"/>
          <w:highlight w:val="yellow"/>
          <w:lang w:val="uk-UA"/>
        </w:rPr>
        <w:t>(самостійно зробити задача 2)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>
        <w:rPr>
          <w:rFonts w:eastAsia="Calibri"/>
          <w:b/>
          <w:bCs/>
          <w:sz w:val="24"/>
          <w:szCs w:val="24"/>
          <w:lang w:val="uk-UA" w:eastAsia="en-US"/>
        </w:rPr>
        <w:t>1. Склади, їх функції та класифікація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Необхідність зберігання різних видів запасів зумовлена наступним: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неспівпадінням у часі циклів виробництва та споживання багатьох видів продукції;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наявністю широкого кола споживачів, що можуть знаходитись у різних регіонах;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використанням у виробництві великої номенклатури матеріально-технічних ресурсів;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збільшенням мінімальних норм транзитного відвантаження, що призводить до зростання запасів засобів виробництва;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впровадженням прогресивних форм обслуговування споживачів з боку постачальницько-збутових організацій, що потребує постійної наявності на складах великої номенклатури товарів;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підвищенням техніко-організаційного рівня баз та складів і зниженням на цій основі собівартості складських переробок вантажу, що створює реальні можливості для зменшення рівня складських націнок та підвищення привабливості складської форми зберігання вантажів.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 w:val="0"/>
          <w:i/>
          <w:iCs/>
          <w:sz w:val="24"/>
          <w:szCs w:val="24"/>
          <w:lang w:val="uk-UA" w:eastAsia="en-US"/>
        </w:rPr>
        <w:t>Склади -</w:t>
      </w:r>
      <w:r>
        <w:rPr>
          <w:rFonts w:eastAsia="Calibri"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це складні технічні системи, які складаються із будівель, споруд, технічних засобів, що призначені для прийняття, розміщення, зберігання, підготовки до споживання та видачі споживачам матеріально-технічних ресурсів, об’єктів незавершеного виробництва, готової продукції, товарів.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iCs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Класифікація складів: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1.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 xml:space="preserve">За розмірами корисної складської площі, складського об’єму, місткості: </w:t>
      </w:r>
      <w:r>
        <w:rPr>
          <w:rFonts w:eastAsia="Calibri"/>
          <w:sz w:val="24"/>
          <w:szCs w:val="24"/>
          <w:lang w:val="uk-UA" w:eastAsia="en-US"/>
        </w:rPr>
        <w:t>малі (до 5 тис. кв. м.; 30 тис. куб. м; до 1 тис. т.); середні (від 5 до 10 тис. кв. м.; від 30 до 60 тис. куб. м.; від 1 до 6 тис. т.); великі (понад 10 тис. кв. м.; понад 60 тис. куб м.; понад 6 тис. т.).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2.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 xml:space="preserve">За конструктивними ознаками: </w:t>
      </w:r>
      <w:r>
        <w:rPr>
          <w:rFonts w:eastAsia="Calibri"/>
          <w:sz w:val="24"/>
          <w:szCs w:val="24"/>
          <w:lang w:val="uk-UA" w:eastAsia="en-US"/>
        </w:rPr>
        <w:t>закриті (розміщені в окремих приміщеннях); напівзакриті (навіси); відкриті (майданчики).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3.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 xml:space="preserve">За характером виконуваних функцій: </w:t>
      </w:r>
      <w:r>
        <w:rPr>
          <w:rFonts w:eastAsia="Calibri"/>
          <w:sz w:val="24"/>
          <w:szCs w:val="24"/>
          <w:lang w:val="uk-UA" w:eastAsia="en-US"/>
        </w:rPr>
        <w:t>матеріальні (постачальницькі) склади; виробничі (міжцехові та внутр ішньоцехові); збутові; сортувально-розподільчі; транзитно-перевалочні; накопичувальні.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4.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 xml:space="preserve">За формою власності: </w:t>
      </w:r>
      <w:r>
        <w:rPr>
          <w:rFonts w:eastAsia="Calibri"/>
          <w:sz w:val="24"/>
          <w:szCs w:val="24"/>
          <w:lang w:val="uk-UA" w:eastAsia="en-US"/>
        </w:rPr>
        <w:t>державні; колективні; приватні; спільні.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5.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 xml:space="preserve">За формою користування: </w:t>
      </w:r>
      <w:r>
        <w:rPr>
          <w:rFonts w:eastAsia="Calibri"/>
          <w:sz w:val="24"/>
          <w:szCs w:val="24"/>
          <w:lang w:val="uk-UA" w:eastAsia="en-US"/>
        </w:rPr>
        <w:t>індивідуального користування; спільного користування; загального користування.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6.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 xml:space="preserve">За призначенням вантажів: </w:t>
      </w:r>
      <w:r>
        <w:rPr>
          <w:rFonts w:eastAsia="Calibri"/>
          <w:sz w:val="24"/>
          <w:szCs w:val="24"/>
          <w:lang w:val="uk-UA" w:eastAsia="en-US"/>
        </w:rPr>
        <w:t>склади продукції виробничо-технічного призначення; склади товарів народного споживання.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7.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 xml:space="preserve">За ступенем механізації (автоматизації) вантажопереробки: </w:t>
      </w:r>
      <w:r>
        <w:rPr>
          <w:rFonts w:eastAsia="Calibri"/>
          <w:sz w:val="24"/>
          <w:szCs w:val="24"/>
          <w:lang w:val="uk-UA" w:eastAsia="en-US"/>
        </w:rPr>
        <w:t>немеханізовані; механізовані; комплексно-механізовані; автоматизовані; автоматичні.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8.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 xml:space="preserve">За можливістю доставки та вивозу вантажу: </w:t>
      </w:r>
      <w:r>
        <w:rPr>
          <w:rFonts w:eastAsia="Calibri"/>
          <w:sz w:val="24"/>
          <w:szCs w:val="24"/>
          <w:lang w:val="uk-UA" w:eastAsia="en-US"/>
        </w:rPr>
        <w:t>пристанційні або портові; прирейкові; глибинні (внутр ішньоміські).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9.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 xml:space="preserve">За видом та характером матеріальних цінностей, що зберігаються на складі: </w:t>
      </w:r>
      <w:r>
        <w:rPr>
          <w:rFonts w:eastAsia="Calibri"/>
          <w:sz w:val="24"/>
          <w:szCs w:val="24"/>
          <w:lang w:val="uk-UA" w:eastAsia="en-US"/>
        </w:rPr>
        <w:t>універсальні; спеціалізовані; вузькоспеціалізовані; комбіновані; неспеціалізовані; змішаного зберігання.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Склади логістики постачання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спеціалізуються на зберіганні матеріально-технічних ресурсів.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Склади виробничої логістики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входять до складу системи виробництва та призначені для забезпечення технологічних процесів.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Склади розподільчої логістики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призначені для підтримки безперервності руху товарів з і сфери виробництва у сферу споживання.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Склади готової продукції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забезпечують: приймання від виробничих підрозділів готової продукції та розміщення її на складах; зберігання готової продукції; підготовку партій готової продукції до відвантаження споживачам (сортування, маркування, етикетування, розфасовка, комплектування, пакування тощо); підготовку вантажів до відвантаження споживачам за номенклатурою, асортиментом, кількістю і якістю з оформленням відповідної документації; навантаження готової продукції на транспортні засоби.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Склади гуртово-посередницьких організацій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забезпечують: концентрацію товарів на складах; приймання, розвантаження, переміщення, розміщення товарів на складах; перекомплектацію, підбір товарів в потрібному асортименті; формування товарів дрібними партіями та відвантаження споживачам; збереження резервних партій товарів.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Склади торгівлі</w:t>
      </w:r>
      <w:r>
        <w:rPr>
          <w:rFonts w:eastAsia="Calibri"/>
          <w:sz w:val="24"/>
          <w:szCs w:val="24"/>
          <w:lang w:val="uk-UA" w:eastAsia="en-US"/>
        </w:rPr>
        <w:t>, які знаходяться в місцях розміщення виробництв (вихідні оптові бази) – отримують товари від виробничих підприємств великими партіями, комплектують і відправляють великі партії товарів споживачам, що знаходяться в місцях споживання.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Склади торгівельних гуртових баз</w:t>
      </w:r>
      <w:r>
        <w:rPr>
          <w:rFonts w:eastAsia="Calibri"/>
          <w:sz w:val="24"/>
          <w:szCs w:val="24"/>
          <w:lang w:val="uk-UA" w:eastAsia="en-US"/>
        </w:rPr>
        <w:t>, які розміщуються в місцях споживання - отримують товари, формують широкий торгівельний асортимент, постачають товари на роздрібні торгівельні підприємства.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>
        <w:rPr>
          <w:rFonts w:eastAsia="Calibri"/>
          <w:b/>
          <w:bCs/>
          <w:sz w:val="24"/>
          <w:szCs w:val="24"/>
          <w:lang w:val="uk-UA" w:eastAsia="en-US"/>
        </w:rPr>
        <w:t>2</w:t>
      </w:r>
      <w:r>
        <w:rPr>
          <w:rFonts w:hint="default" w:eastAsia="Calibri"/>
          <w:b/>
          <w:bCs/>
          <w:sz w:val="24"/>
          <w:szCs w:val="24"/>
          <w:lang w:val="uk-UA" w:eastAsia="en-US"/>
        </w:rPr>
        <w:t>.</w:t>
      </w:r>
      <w:r>
        <w:rPr>
          <w:rFonts w:eastAsia="Calibri"/>
          <w:b/>
          <w:bCs/>
          <w:sz w:val="24"/>
          <w:szCs w:val="24"/>
          <w:lang w:val="uk-UA" w:eastAsia="en-US"/>
        </w:rPr>
        <w:t xml:space="preserve"> Логістичний процес на складі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Times New Roman,Italic"/>
          <w:b/>
          <w:iCs/>
          <w:sz w:val="24"/>
          <w:szCs w:val="24"/>
          <w:lang w:val="uk-UA" w:eastAsia="en-US"/>
        </w:rPr>
        <w:t>Складська логістика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Times New Roman,Italic"/>
          <w:sz w:val="24"/>
          <w:szCs w:val="24"/>
          <w:lang w:val="uk-UA" w:eastAsia="en-US"/>
        </w:rPr>
        <w:t>охоплює всі основні функціональні сфери, що пов'язані з організацією руху матеріальних потоків на макрорівні.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i/>
          <w:iCs/>
          <w:sz w:val="24"/>
          <w:szCs w:val="24"/>
          <w:lang w:val="uk-UA" w:eastAsia="en-US"/>
        </w:rPr>
      </w:pPr>
      <w:r>
        <w:rPr>
          <w:rFonts w:eastAsia="Calibri"/>
          <w:i/>
          <w:iCs/>
          <w:sz w:val="24"/>
          <w:szCs w:val="24"/>
          <w:lang w:val="uk-UA" w:eastAsia="en-US"/>
        </w:rPr>
        <w:t>Умовно логістичний процес на складах можна поділити на три складові: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1) операції, що спрямовані на координацію роботи зі службою закупівель;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2) операції, що безпосередньо пов’язані з переробкою вантажів та оформленням необхідних документів (розвантаження, внутрішньо складське транспортування, складування, комплектація або комісіонування замовлень, транспортування та експедирування замовлень, збирання і доставка порожніх товароносіїв, інформаційне обслуговування складу);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3) операції, що направлені на координацію роботи зі службою продажів.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Координація роботи зі службою закупівель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здійснюється в ході операцій з постачання запасами та завдяки контролю за веденням поставок.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Розвантаження на сучасних складах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здійснюється на розвантажувальних автомобільних чи залізничних рампах та контейнерних майданчиках.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Внутрішньоскладське транспортування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передбачає переміщення вантажу між різноманітними зонами складу: з розвантажувальної рампи до зони приймання, потім до зон зберігання, комплектації та на навантажувальну рампу.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Процес складування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полягає у розміщенні та укладці вантажу на зберігання.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Процес комплектації (комісіонування) замовлень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зводиться до підготовки товару за замовленнями споживачів.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Транспортування та експедирування замовлень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можуть здійснюватись як складом, так і самим замовником.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Інформаційне обслуговування складу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передбачає управління інформаційними потоками і є зв'язувальним стрижнем функціонування всіх служб складу.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>
        <w:rPr>
          <w:rFonts w:eastAsia="Calibri"/>
          <w:b/>
          <w:bCs/>
          <w:sz w:val="24"/>
          <w:szCs w:val="24"/>
          <w:lang w:val="uk-UA" w:eastAsia="en-US"/>
        </w:rPr>
        <w:t>3. Система складування та організація переробки вантажів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Система складування </w:t>
      </w:r>
      <w:r>
        <w:rPr>
          <w:rFonts w:eastAsia="Calibri"/>
          <w:sz w:val="24"/>
          <w:szCs w:val="24"/>
          <w:lang w:val="uk-UA" w:eastAsia="en-US"/>
        </w:rPr>
        <w:t>передбачає оптимальне розміщення вантажу на складі і раціональне управління ним.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Система складування включає такі </w:t>
      </w:r>
      <w:r>
        <w:rPr>
          <w:rFonts w:eastAsia="Calibri"/>
          <w:b/>
          <w:bCs/>
          <w:iCs/>
          <w:sz w:val="24"/>
          <w:szCs w:val="24"/>
          <w:lang w:val="uk-UA" w:eastAsia="en-US"/>
        </w:rPr>
        <w:t>складські підсистеми</w:t>
      </w:r>
      <w:r>
        <w:rPr>
          <w:rFonts w:eastAsia="Calibri"/>
          <w:sz w:val="24"/>
          <w:szCs w:val="24"/>
          <w:lang w:val="uk-UA" w:eastAsia="en-US"/>
        </w:rPr>
        <w:t>: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складована вантажна одиниця;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вид складування вантажів (на підлозі, у блоках, на стелажах, конвеєрне складування тощо);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підсистема обладнання з обслуговування складу;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підсистема комплектації (комісіонування) вантажів;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підсистема управління переміщенням вантажу;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інформаційна підсистема;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підсистема будівель і споруд (конструктивні особливості будівель і споруд).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i/>
          <w:iCs/>
          <w:sz w:val="24"/>
          <w:szCs w:val="24"/>
          <w:lang w:val="uk-UA" w:eastAsia="en-US"/>
        </w:rPr>
      </w:pPr>
      <w:r>
        <w:rPr>
          <w:rFonts w:eastAsia="Calibri"/>
          <w:i/>
          <w:iCs/>
          <w:sz w:val="24"/>
          <w:szCs w:val="24"/>
          <w:lang w:val="uk-UA" w:eastAsia="en-US"/>
        </w:rPr>
        <w:t>Розрахунок площі складу включає такі процедури: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визначення корисної площі (площі на якій безпосередньо будуть зберігатися вантажі);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оперативної площі до якої відносять приймально-сортувальні, відпускні, вагові площадки, проходи, проїзди й т. ін.;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конструктивної площі на якій розташовуються перегородки, колони, сходові клітки й т. ін.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9"/>
          <w:szCs w:val="29"/>
          <w:lang w:val="uk-UA" w:eastAsia="en-US"/>
        </w:rPr>
      </w:pPr>
      <w:r>
        <w:rPr>
          <w:rFonts w:eastAsia="Calibri"/>
          <w:i/>
          <w:sz w:val="24"/>
          <w:szCs w:val="24"/>
          <w:lang w:val="uk-UA" w:eastAsia="en-US"/>
        </w:rPr>
        <w:t>Вантажна одиниця</w:t>
      </w:r>
      <w:r>
        <w:rPr>
          <w:rFonts w:eastAsia="Calibri"/>
          <w:sz w:val="24"/>
          <w:szCs w:val="24"/>
          <w:lang w:val="uk-UA" w:eastAsia="en-US"/>
        </w:rPr>
        <w:t xml:space="preserve"> – це той елемент логістики, котрий своїми параметрами пов’язує технологічні процеси у єдиний логістичний процес</w:t>
      </w:r>
      <w:r>
        <w:rPr>
          <w:rFonts w:eastAsia="Calibri"/>
          <w:sz w:val="29"/>
          <w:szCs w:val="29"/>
          <w:lang w:val="uk-UA" w:eastAsia="en-US"/>
        </w:rPr>
        <w:t>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Види складування.  </w:t>
      </w:r>
      <w:r>
        <w:rPr>
          <w:rFonts w:eastAsia="Calibri"/>
          <w:i/>
          <w:sz w:val="24"/>
          <w:szCs w:val="24"/>
          <w:lang w:val="uk-UA" w:eastAsia="en-US"/>
        </w:rPr>
        <w:t>О</w:t>
      </w:r>
      <w:r>
        <w:rPr>
          <w:rFonts w:eastAsia="Calibri"/>
          <w:bCs/>
          <w:i/>
          <w:iCs/>
          <w:sz w:val="24"/>
          <w:szCs w:val="24"/>
          <w:lang w:val="uk-UA" w:eastAsia="en-US"/>
        </w:rPr>
        <w:t>диничне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 xml:space="preserve">є найпростішою формою і використовується при зберіганні обладнання, транспортних засобів та інших засобів, які тимчасово витримують відкритість. Досить часто застосовується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 xml:space="preserve">лінійне </w:t>
      </w:r>
      <w:r>
        <w:rPr>
          <w:rFonts w:eastAsia="Calibri"/>
          <w:sz w:val="24"/>
          <w:szCs w:val="24"/>
          <w:lang w:val="uk-UA" w:eastAsia="en-US"/>
        </w:rPr>
        <w:t xml:space="preserve">і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>блочне збереження</w:t>
      </w:r>
      <w:r>
        <w:rPr>
          <w:rFonts w:eastAsia="Calibri"/>
          <w:sz w:val="24"/>
          <w:szCs w:val="24"/>
          <w:lang w:val="uk-UA" w:eastAsia="en-US"/>
        </w:rPr>
        <w:t>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Для обслуговування складів використовують різноманітні підйомно-транспортні машини і механізми.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Процес комплектації вантажів проходить у такі етапи: відбирання товару відповідно до замовлення; комплектація повного замовлення відповідно до замовлення; комплектація партій відправки для централізованої та децентралізованої доставки вантажів споживачеві.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Транспортування вантажів на внутрішньоскладському рівні має здійснюватись за умов мінімальної протяжності у часі та просторі за наскрізними «прямоточними» маршрутами.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Інформаційне обслуговування складів передбачає управління інформаційними потоками.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Вид вантажів, що складуються, їх розміри і вага впливають на конструкцію складів. Альтернативними є такі види конструкції складів: пласкі будівлі; висотні (багатоповерхові) будівлі; склади зі стелажним зберіганням вантажів або їх зберіганням в підвісному стані; склади для зберігання вантажів на відкритому повітрі.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>
        <w:rPr>
          <w:rFonts w:eastAsia="Calibri"/>
          <w:b/>
          <w:bCs/>
          <w:sz w:val="24"/>
          <w:szCs w:val="24"/>
          <w:lang w:val="uk-UA" w:eastAsia="en-US"/>
        </w:rPr>
        <w:t>4. Тара та упаковка при зберіганні вантажів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Упаковка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- </w:t>
      </w:r>
      <w:r>
        <w:rPr>
          <w:rFonts w:eastAsia="Calibri"/>
          <w:sz w:val="24"/>
          <w:szCs w:val="24"/>
          <w:lang w:val="uk-UA" w:eastAsia="en-US"/>
        </w:rPr>
        <w:t>засіб або комплекс засобів, що забезпечують захист продукції від пошкоджень, втрат, а зовнішнє середовище від забруднень при транспортуванні, складуванні, перевальці, укладці, зберіганні та інших операціях.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Тара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 xml:space="preserve">– елемент і (або) різновид упаковки, це особливий вид промислових виробів, призначений для укладання і упаковування різних вантажів для запобігання пошкодження або псування вантажів. 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Разова тара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- </w:t>
      </w:r>
      <w:r>
        <w:rPr>
          <w:rFonts w:eastAsia="Calibri"/>
          <w:sz w:val="24"/>
          <w:szCs w:val="24"/>
          <w:lang w:val="uk-UA" w:eastAsia="en-US"/>
        </w:rPr>
        <w:t>тару, котра може обслуговувати тільки один оберт товару від постачальника або виробника до споживача.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Багатооборотна тара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здійснює декілька обертів, обслуговуючи процес просування товарів від виробника до споживача, та потребує повернення постачальнику товару або тарозберігаючим організаціям відповідно до діючих домовленостей.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Нині широко використовують 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розбірну </w:t>
      </w:r>
      <w:r>
        <w:rPr>
          <w:rFonts w:eastAsia="Calibri"/>
          <w:sz w:val="24"/>
          <w:szCs w:val="24"/>
          <w:lang w:val="uk-UA" w:eastAsia="en-US"/>
        </w:rPr>
        <w:t xml:space="preserve">та 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>розбірно-складальну тару</w:t>
      </w:r>
      <w:r>
        <w:rPr>
          <w:rFonts w:eastAsia="Calibri"/>
          <w:sz w:val="24"/>
          <w:szCs w:val="24"/>
          <w:lang w:val="uk-UA" w:eastAsia="en-US"/>
        </w:rPr>
        <w:t xml:space="preserve">, яка розбирається або складається. 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Зовнішня тара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 xml:space="preserve">призначена для транспортування або зберігання у процесі переміщення вантажів від виробника до споживача. 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Внутрішня тара</w:t>
      </w:r>
      <w:r>
        <w:rPr>
          <w:rFonts w:eastAsia="Calibri"/>
          <w:sz w:val="24"/>
          <w:szCs w:val="24"/>
          <w:lang w:val="uk-UA" w:eastAsia="en-US"/>
        </w:rPr>
        <w:t xml:space="preserve">, або, так звана, споживча тара або упаковка переходить з розміщеним в неї товаром в повну власність споживача. 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Цехова тара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 xml:space="preserve">використовується для транспортування товарів до робочих місць, доставки і збереження сировини, матеріалів, напівфабрикатів і готової продукції. 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Транспортну тару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використовують тільки для перевезень і перед роздрібним продажем прибирають (наприклад, ящик або контейнер).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Споживацька тара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надходить споживачеві разом  з товаром.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Товаробезособова тара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не має специфічних якостей та особливостей і може бути використана після її звільнення від одних матеріалів для інших.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Спеціалізована тара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використовується тільки для пакування та транспортування певних вантажів.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Найбільш ефективним видом тари є </w:t>
      </w:r>
      <w:r>
        <w:rPr>
          <w:rFonts w:eastAsia="Times New Roman,Italic"/>
          <w:i/>
          <w:iCs/>
          <w:sz w:val="24"/>
          <w:szCs w:val="24"/>
          <w:lang w:val="uk-UA" w:eastAsia="en-US"/>
        </w:rPr>
        <w:t>контейнери та пакети</w:t>
      </w:r>
      <w:r>
        <w:rPr>
          <w:rFonts w:eastAsia="Calibri"/>
          <w:sz w:val="24"/>
          <w:szCs w:val="24"/>
          <w:lang w:val="uk-UA" w:eastAsia="en-US"/>
        </w:rPr>
        <w:t>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Контейнер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- це різновид багатообігової тари, наземна транспортна ємність, котра перевантажується за допомогою підйомно-транспортних засобів.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Пакетування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– це операція формування на піддоні вантажної одиниці з наступним зв’язуванням вантажу та піддону в одне ціле – пакет.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iCs/>
          <w:sz w:val="24"/>
          <w:szCs w:val="24"/>
          <w:lang w:val="uk-UA" w:eastAsia="en-US"/>
        </w:rPr>
        <w:t>Піддон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має вигляд вантажної площадки з двома або одним настилом на ніжках.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Приклад</w:t>
      </w:r>
      <w:r>
        <w:rPr>
          <w:rFonts w:hint="default" w:eastAsia="Calibri"/>
          <w:b/>
          <w:sz w:val="28"/>
          <w:szCs w:val="28"/>
          <w:lang w:val="uk-UA" w:eastAsia="en-US"/>
        </w:rPr>
        <w:t xml:space="preserve"> задача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>
        <w:rPr>
          <w:rFonts w:hint="default" w:eastAsia="Calibri"/>
          <w:b/>
          <w:sz w:val="28"/>
          <w:szCs w:val="28"/>
          <w:lang w:val="uk-UA" w:eastAsia="en-US"/>
        </w:rPr>
        <w:t>2.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bCs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</w:t>
      </w:r>
      <w:r>
        <w:rPr>
          <w:rFonts w:eastAsia="Calibri"/>
          <w:bCs/>
          <w:sz w:val="28"/>
          <w:szCs w:val="28"/>
          <w:lang w:val="uk-UA" w:eastAsia="en-US"/>
        </w:rPr>
        <w:t>озрахунок точки беззбитковості діяльності складу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Дані про роботу складу наведено в табл. 24.</w:t>
      </w:r>
    </w:p>
    <w:p>
      <w:pPr>
        <w:widowControl/>
        <w:autoSpaceDE w:val="0"/>
        <w:autoSpaceDN w:val="0"/>
        <w:spacing w:line="240" w:lineRule="auto"/>
        <w:jc w:val="right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Таблиця 24</w:t>
      </w:r>
    </w:p>
    <w:p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Економічні показники роботи складу</w:t>
      </w:r>
    </w:p>
    <w:tbl>
      <w:tblPr>
        <w:tblStyle w:val="5"/>
        <w:tblW w:w="10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0"/>
        <w:gridCol w:w="193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Показник</w:t>
            </w:r>
          </w:p>
        </w:tc>
        <w:tc>
          <w:tcPr>
            <w:tcW w:w="193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Одиниця виміру</w:t>
            </w:r>
          </w:p>
        </w:tc>
        <w:tc>
          <w:tcPr>
            <w:tcW w:w="243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Значення показника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0" w:type="dxa"/>
          </w:tcPr>
          <w:p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Середня вартість закупівлі товарів,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lang w:val="uk-UA" w:eastAsia="en-US"/>
              </w:rPr>
              <w:t>R</w:t>
            </w:r>
          </w:p>
        </w:tc>
        <w:tc>
          <w:tcPr>
            <w:tcW w:w="193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у.о./т</w:t>
            </w:r>
          </w:p>
        </w:tc>
        <w:tc>
          <w:tcPr>
            <w:tcW w:w="243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0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Коефіцієнт для розрахунку оплати відсотків за кредит,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lang w:val="uk-UA" w:eastAsia="en-US"/>
              </w:rPr>
              <w:t>k</w:t>
            </w:r>
          </w:p>
        </w:tc>
        <w:tc>
          <w:tcPr>
            <w:tcW w:w="193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- </w:t>
            </w:r>
          </w:p>
        </w:tc>
        <w:tc>
          <w:tcPr>
            <w:tcW w:w="243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0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Торговельна надбавка при оптовому продажі товарів,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lang w:val="uk-UA" w:eastAsia="en-US"/>
              </w:rPr>
              <w:t>N</w:t>
            </w:r>
          </w:p>
        </w:tc>
        <w:tc>
          <w:tcPr>
            <w:tcW w:w="193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%</w:t>
            </w:r>
          </w:p>
        </w:tc>
        <w:tc>
          <w:tcPr>
            <w:tcW w:w="243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0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Витрати на оренду складського приміщення, </w:t>
            </w:r>
            <w:r>
              <w:rPr>
                <w:b/>
                <w:bCs/>
                <w:i/>
                <w:iCs/>
                <w:sz w:val="22"/>
                <w:szCs w:val="22"/>
                <w:lang w:val="uk-UA" w:eastAsia="en-US"/>
              </w:rPr>
              <w:t>Вор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93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у.о./рік</w:t>
            </w:r>
          </w:p>
        </w:tc>
        <w:tc>
          <w:tcPr>
            <w:tcW w:w="243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170000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0" w:type="dxa"/>
          </w:tcPr>
          <w:p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Витрати на амортизацію техніки, </w:t>
            </w:r>
            <w:r>
              <w:rPr>
                <w:b/>
                <w:bCs/>
                <w:i/>
                <w:iCs/>
                <w:sz w:val="22"/>
                <w:szCs w:val="22"/>
                <w:lang w:val="uk-UA" w:eastAsia="en-US"/>
              </w:rPr>
              <w:t>Вам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93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у.о./рік</w:t>
            </w:r>
          </w:p>
        </w:tc>
        <w:tc>
          <w:tcPr>
            <w:tcW w:w="243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0" w:type="dxa"/>
          </w:tcPr>
          <w:p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Витрати на оплату електроенергії, </w:t>
            </w:r>
            <w:r>
              <w:rPr>
                <w:b/>
                <w:bCs/>
                <w:i/>
                <w:iCs/>
                <w:sz w:val="22"/>
                <w:szCs w:val="22"/>
                <w:lang w:val="uk-UA" w:eastAsia="en-US"/>
              </w:rPr>
              <w:t>Вел</w:t>
            </w:r>
          </w:p>
        </w:tc>
        <w:tc>
          <w:tcPr>
            <w:tcW w:w="193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у.о./рік</w:t>
            </w:r>
          </w:p>
        </w:tc>
        <w:tc>
          <w:tcPr>
            <w:tcW w:w="243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0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Витрати на оплату керівного персоналу і фахівців, </w:t>
            </w:r>
            <w:r>
              <w:rPr>
                <w:b/>
                <w:bCs/>
                <w:i/>
                <w:iCs/>
                <w:sz w:val="22"/>
                <w:szCs w:val="22"/>
                <w:lang w:val="uk-UA" w:eastAsia="en-US"/>
              </w:rPr>
              <w:t>Взп</w:t>
            </w:r>
          </w:p>
        </w:tc>
        <w:tc>
          <w:tcPr>
            <w:tcW w:w="193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у.о./рік</w:t>
            </w:r>
          </w:p>
        </w:tc>
        <w:tc>
          <w:tcPr>
            <w:tcW w:w="243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0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Вартість вантажопереробки, що приходиться на 1 т вантажообігу складу, </w:t>
            </w:r>
            <w:r>
              <w:rPr>
                <w:b/>
                <w:bCs/>
                <w:i/>
                <w:iCs/>
                <w:sz w:val="22"/>
                <w:szCs w:val="22"/>
                <w:lang w:val="uk-UA" w:eastAsia="en-US"/>
              </w:rPr>
              <w:t>Ввп.пит</w:t>
            </w:r>
          </w:p>
        </w:tc>
        <w:tc>
          <w:tcPr>
            <w:tcW w:w="193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у.о./т</w:t>
            </w:r>
          </w:p>
        </w:tc>
        <w:tc>
          <w:tcPr>
            <w:tcW w:w="243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0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Існуючий вантажообіг складу, </w:t>
            </w:r>
            <w:r>
              <w:rPr>
                <w:b/>
                <w:bCs/>
                <w:i/>
                <w:iCs/>
                <w:sz w:val="22"/>
                <w:szCs w:val="22"/>
                <w:lang w:val="uk-UA" w:eastAsia="en-US"/>
              </w:rPr>
              <w:t>T</w:t>
            </w:r>
          </w:p>
        </w:tc>
        <w:tc>
          <w:tcPr>
            <w:tcW w:w="193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т/рік</w:t>
            </w:r>
          </w:p>
        </w:tc>
        <w:tc>
          <w:tcPr>
            <w:tcW w:w="243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1600</w:t>
            </w:r>
          </w:p>
        </w:tc>
      </w:tr>
    </w:tbl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2"/>
          <w:szCs w:val="22"/>
          <w:lang w:val="uk-UA" w:eastAsia="en-US"/>
        </w:rPr>
      </w:pP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>
        <w:rPr>
          <w:rFonts w:eastAsia="Calibri"/>
          <w:b/>
          <w:bCs/>
          <w:sz w:val="24"/>
          <w:szCs w:val="24"/>
          <w:lang w:val="uk-UA" w:eastAsia="en-US"/>
        </w:rPr>
        <w:t>1. Загальні витрати на роботу складу визначають за формулою:</w:t>
      </w:r>
    </w:p>
    <w:p>
      <w:pPr>
        <w:autoSpaceDE w:val="0"/>
        <w:autoSpaceDN w:val="0"/>
        <w:spacing w:line="240" w:lineRule="auto"/>
        <w:ind w:firstLine="567"/>
        <w:jc w:val="center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val="uk-UA" w:eastAsia="en-US"/>
        </w:rPr>
        <w:t>Взаг = В пост</w:t>
      </w:r>
      <w:r>
        <w:rPr>
          <w:rFonts w:hint="default" w:eastAsia="Calibri"/>
          <w:b/>
          <w:bCs/>
          <w:sz w:val="24"/>
          <w:szCs w:val="24"/>
          <w:lang w:val="uk-UA" w:eastAsia="en-US"/>
        </w:rPr>
        <w:t xml:space="preserve"> + </w:t>
      </w:r>
      <w:r>
        <w:rPr>
          <w:rFonts w:eastAsia="Calibri"/>
          <w:b/>
          <w:bCs/>
          <w:sz w:val="24"/>
          <w:szCs w:val="24"/>
          <w:lang w:val="uk-UA" w:eastAsia="en-US"/>
        </w:rPr>
        <w:t>Взмін ,</w:t>
      </w:r>
      <w:r>
        <w:rPr>
          <w:rFonts w:eastAsia="Calibri"/>
          <w:b/>
          <w:bCs/>
          <w:color w:val="000000"/>
          <w:sz w:val="24"/>
          <w:szCs w:val="24"/>
          <w:lang w:val="uk-UA"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>(11)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де В пост – умовно-постійні витрати, у.о./рік; 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Взмін – умовно-змінні витрати, у.о./рік.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>
        <w:rPr>
          <w:rFonts w:eastAsia="Calibri"/>
          <w:b/>
          <w:bCs/>
          <w:sz w:val="24"/>
          <w:szCs w:val="24"/>
          <w:lang w:val="uk-UA" w:eastAsia="en-US"/>
        </w:rPr>
        <w:t>Умовно-постійні витрати визначають за формулою:</w:t>
      </w:r>
    </w:p>
    <w:p>
      <w:pPr>
        <w:autoSpaceDE w:val="0"/>
        <w:autoSpaceDN w:val="0"/>
        <w:spacing w:line="240" w:lineRule="auto"/>
        <w:ind w:firstLine="567"/>
        <w:jc w:val="center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val="uk-UA" w:eastAsia="en-US"/>
        </w:rPr>
        <w:t>Впост = Вор + Вам +Вел +Взп,</w:t>
      </w:r>
      <w:r>
        <w:rPr>
          <w:rFonts w:eastAsia="Calibri"/>
          <w:b/>
          <w:bCs/>
          <w:color w:val="000000"/>
          <w:sz w:val="24"/>
          <w:szCs w:val="24"/>
          <w:lang w:val="uk-UA"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>(12)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де Вор – витрати на оренду складського приміщення, у.о./рік; 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Вам – витрати на амортизацію техніки, у.о./рік; 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Вел – витрати на оплату електроенергії, у.о./рік; 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Взп – витрати на оплату керуючого персоналу і фахівців, у.о./рік.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>
        <w:rPr>
          <w:rFonts w:eastAsia="Calibri"/>
          <w:b/>
          <w:bCs/>
          <w:sz w:val="24"/>
          <w:szCs w:val="24"/>
          <w:lang w:val="uk-UA" w:eastAsia="en-US"/>
        </w:rPr>
        <w:t>Умовно-змінні витрати визначають за формулою:</w:t>
      </w:r>
    </w:p>
    <w:p>
      <w:pPr>
        <w:widowControl/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val="uk-UA" w:eastAsia="en-US"/>
        </w:rPr>
        <w:t>Взмін = В кр +В вп,</w:t>
      </w:r>
      <w:r>
        <w:rPr>
          <w:rFonts w:eastAsia="Calibri"/>
          <w:b/>
          <w:bCs/>
          <w:color w:val="000000"/>
          <w:sz w:val="24"/>
          <w:szCs w:val="24"/>
          <w:lang w:val="uk-UA"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>(13)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де В кр – витрати на кредит, у.о./рік; 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В вп – витрати на вантажопереробку, у.о./рік.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>
        <w:rPr>
          <w:rFonts w:eastAsia="Calibri"/>
          <w:b/>
          <w:bCs/>
          <w:sz w:val="24"/>
          <w:szCs w:val="24"/>
          <w:lang w:val="uk-UA" w:eastAsia="en-US"/>
        </w:rPr>
        <w:t>Витрати на кредит знаходять за формулою:</w:t>
      </w:r>
    </w:p>
    <w:p>
      <w:pPr>
        <w:widowControl/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sz w:val="24"/>
          <w:szCs w:val="24"/>
          <w:lang w:val="uk-UA" w:eastAsia="en-US"/>
        </w:rPr>
        <w:t xml:space="preserve">Вкр =  </w:t>
      </w:r>
      <w:r>
        <w:rPr>
          <w:rFonts w:eastAsia="Calibri"/>
          <w:b/>
          <w:bCs/>
          <w:i/>
          <w:iCs/>
          <w:sz w:val="24"/>
          <w:szCs w:val="24"/>
          <w:lang w:val="uk-UA" w:eastAsia="en-US"/>
        </w:rPr>
        <w:t>k× T× R</w:t>
      </w:r>
      <w:r>
        <w:rPr>
          <w:rFonts w:eastAsia="Calibri"/>
          <w:b/>
          <w:bCs/>
          <w:sz w:val="24"/>
          <w:szCs w:val="24"/>
          <w:lang w:val="uk-UA" w:eastAsia="en-US"/>
        </w:rPr>
        <w:t>,</w:t>
      </w:r>
      <w:r>
        <w:rPr>
          <w:rFonts w:eastAsia="Calibri"/>
          <w:color w:val="000000"/>
          <w:sz w:val="24"/>
          <w:szCs w:val="24"/>
          <w:lang w:val="uk-UA"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>(14)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де </w:t>
      </w:r>
      <w:r>
        <w:rPr>
          <w:rFonts w:eastAsia="Calibri"/>
          <w:i/>
          <w:iCs/>
          <w:sz w:val="24"/>
          <w:szCs w:val="24"/>
          <w:lang w:val="uk-UA" w:eastAsia="en-US"/>
        </w:rPr>
        <w:t xml:space="preserve">k </w:t>
      </w:r>
      <w:r>
        <w:rPr>
          <w:rFonts w:eastAsia="Calibri"/>
          <w:sz w:val="24"/>
          <w:szCs w:val="24"/>
          <w:lang w:val="uk-UA" w:eastAsia="en-US"/>
        </w:rPr>
        <w:t xml:space="preserve">– коефіцієнт, що враховує оплату відсотків за кредит; </w:t>
      </w:r>
      <w:r>
        <w:rPr>
          <w:rFonts w:eastAsia="Calibri"/>
          <w:i/>
          <w:iCs/>
          <w:sz w:val="24"/>
          <w:szCs w:val="24"/>
          <w:lang w:val="uk-UA" w:eastAsia="en-US"/>
        </w:rPr>
        <w:t xml:space="preserve">T </w:t>
      </w:r>
      <w:r>
        <w:rPr>
          <w:rFonts w:eastAsia="Calibri"/>
          <w:sz w:val="24"/>
          <w:szCs w:val="24"/>
          <w:lang w:val="uk-UA" w:eastAsia="en-US"/>
        </w:rPr>
        <w:t xml:space="preserve">– вантажообіг складу (вхідний чи вихідний потік), т/рік; </w:t>
      </w:r>
      <w:r>
        <w:rPr>
          <w:rFonts w:eastAsia="Calibri"/>
          <w:i/>
          <w:iCs/>
          <w:sz w:val="24"/>
          <w:szCs w:val="24"/>
          <w:lang w:val="uk-UA" w:eastAsia="en-US"/>
        </w:rPr>
        <w:t xml:space="preserve">R </w:t>
      </w:r>
      <w:r>
        <w:rPr>
          <w:rFonts w:eastAsia="Calibri"/>
          <w:sz w:val="24"/>
          <w:szCs w:val="24"/>
          <w:lang w:val="uk-UA" w:eastAsia="en-US"/>
        </w:rPr>
        <w:t>– середня вартість закупівлі товарів, у.о./т.</w:t>
      </w:r>
    </w:p>
    <w:p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>
        <w:rPr>
          <w:rFonts w:eastAsia="Calibri"/>
          <w:b/>
          <w:bCs/>
          <w:sz w:val="24"/>
          <w:szCs w:val="24"/>
          <w:lang w:val="uk-UA" w:eastAsia="en-US"/>
        </w:rPr>
        <w:t>Витрати на вантажопереробку визначають за формулою:</w:t>
      </w:r>
    </w:p>
    <w:p>
      <w:pPr>
        <w:widowControl/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val="uk-UA" w:eastAsia="en-US"/>
        </w:rPr>
        <w:t xml:space="preserve">Ввп = Ввп.пит × </w:t>
      </w:r>
      <w:r>
        <w:rPr>
          <w:rFonts w:eastAsia="Times New Roman,Italic"/>
          <w:b/>
          <w:bCs/>
          <w:i/>
          <w:iCs/>
          <w:sz w:val="24"/>
          <w:szCs w:val="24"/>
          <w:lang w:val="uk-UA" w:eastAsia="en-US"/>
        </w:rPr>
        <w:t>Т</w:t>
      </w:r>
      <w:r>
        <w:rPr>
          <w:rFonts w:eastAsia="Calibri"/>
          <w:b/>
          <w:bCs/>
          <w:sz w:val="24"/>
          <w:szCs w:val="24"/>
          <w:lang w:val="uk-UA" w:eastAsia="en-US"/>
        </w:rPr>
        <w:t>,</w:t>
      </w:r>
      <w:r>
        <w:rPr>
          <w:rFonts w:eastAsia="Calibri"/>
          <w:b/>
          <w:bCs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>(15)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де Ввп.пит – вартість вантажопереробки, що приходиться на 1 т вантажообігу складу, у.о./т.</w:t>
      </w:r>
    </w:p>
    <w:p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Результати розрахунків звести до табл. 25</w:t>
      </w:r>
    </w:p>
    <w:p>
      <w:pPr>
        <w:widowControl/>
        <w:autoSpaceDE w:val="0"/>
        <w:autoSpaceDN w:val="0"/>
        <w:spacing w:line="240" w:lineRule="auto"/>
        <w:ind w:firstLine="284"/>
        <w:jc w:val="right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Таблиця 25</w:t>
      </w:r>
    </w:p>
    <w:p>
      <w:pPr>
        <w:widowControl/>
        <w:autoSpaceDE w:val="0"/>
        <w:autoSpaceDN w:val="0"/>
        <w:spacing w:line="240" w:lineRule="auto"/>
        <w:ind w:firstLine="284"/>
        <w:jc w:val="center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Економічні показники роботи складу, у.о./рік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6"/>
        <w:gridCol w:w="1404"/>
        <w:gridCol w:w="1282"/>
        <w:gridCol w:w="1318"/>
        <w:gridCol w:w="916"/>
        <w:gridCol w:w="1230"/>
        <w:gridCol w:w="970"/>
        <w:gridCol w:w="825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559" w:type="pct"/>
            <w:gridSpan w:val="4"/>
          </w:tcPr>
          <w:p>
            <w:pPr>
              <w:widowControl/>
              <w:autoSpaceDE w:val="0"/>
              <w:autoSpaceDN w:val="0"/>
              <w:spacing w:line="240" w:lineRule="auto"/>
              <w:ind w:firstLine="284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Умовно-постійні витрати</w:t>
            </w:r>
          </w:p>
        </w:tc>
        <w:tc>
          <w:tcPr>
            <w:tcW w:w="1075" w:type="pct"/>
            <w:gridSpan w:val="2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Умовно-змінні витрати</w:t>
            </w:r>
          </w:p>
        </w:tc>
        <w:tc>
          <w:tcPr>
            <w:tcW w:w="486" w:type="pct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Загальні витрати</w:t>
            </w:r>
          </w:p>
        </w:tc>
        <w:tc>
          <w:tcPr>
            <w:tcW w:w="413" w:type="pct"/>
          </w:tcPr>
          <w:p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Доходи</w:t>
            </w:r>
          </w:p>
        </w:tc>
        <w:tc>
          <w:tcPr>
            <w:tcW w:w="464" w:type="pct"/>
          </w:tcPr>
          <w:p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Прибуток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4" w:type="pct"/>
          </w:tcPr>
          <w:p>
            <w:pPr>
              <w:widowControl/>
              <w:autoSpaceDE w:val="0"/>
              <w:autoSpaceDN w:val="0"/>
              <w:spacing w:line="240" w:lineRule="auto"/>
              <w:ind w:left="-57" w:right="-57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Витрати на оренду складського приміщення</w:t>
            </w:r>
          </w:p>
        </w:tc>
        <w:tc>
          <w:tcPr>
            <w:tcW w:w="703" w:type="pct"/>
          </w:tcPr>
          <w:p>
            <w:pPr>
              <w:widowControl/>
              <w:autoSpaceDE w:val="0"/>
              <w:autoSpaceDN w:val="0"/>
              <w:spacing w:line="240" w:lineRule="auto"/>
              <w:ind w:left="-57" w:right="-57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Витрати на амортизацію техніки</w:t>
            </w:r>
          </w:p>
        </w:tc>
        <w:tc>
          <w:tcPr>
            <w:tcW w:w="642" w:type="pct"/>
          </w:tcPr>
          <w:p>
            <w:pPr>
              <w:widowControl/>
              <w:autoSpaceDE w:val="0"/>
              <w:autoSpaceDN w:val="0"/>
              <w:spacing w:line="240" w:lineRule="auto"/>
              <w:ind w:left="-57" w:right="-57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Витрати на оплату електроенергії</w:t>
            </w:r>
          </w:p>
        </w:tc>
        <w:tc>
          <w:tcPr>
            <w:tcW w:w="660" w:type="pct"/>
          </w:tcPr>
          <w:p>
            <w:pPr>
              <w:widowControl/>
              <w:autoSpaceDE w:val="0"/>
              <w:autoSpaceDN w:val="0"/>
              <w:spacing w:line="240" w:lineRule="auto"/>
              <w:ind w:left="-57" w:right="-57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Витрати на оплату керуючого персоналу і фахівців</w:t>
            </w:r>
          </w:p>
        </w:tc>
        <w:tc>
          <w:tcPr>
            <w:tcW w:w="459" w:type="pct"/>
          </w:tcPr>
          <w:p>
            <w:pPr>
              <w:widowControl/>
              <w:autoSpaceDE w:val="0"/>
              <w:autoSpaceDN w:val="0"/>
              <w:spacing w:line="240" w:lineRule="auto"/>
              <w:ind w:left="-57" w:right="-57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Витрати на кредит</w:t>
            </w:r>
          </w:p>
        </w:tc>
        <w:tc>
          <w:tcPr>
            <w:tcW w:w="615" w:type="pct"/>
          </w:tcPr>
          <w:p>
            <w:pPr>
              <w:widowControl/>
              <w:autoSpaceDE w:val="0"/>
              <w:autoSpaceDN w:val="0"/>
              <w:spacing w:line="240" w:lineRule="auto"/>
              <w:ind w:left="-57" w:right="-57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Витрати на вантажо-переробку</w:t>
            </w:r>
          </w:p>
        </w:tc>
        <w:tc>
          <w:tcPr>
            <w:tcW w:w="486" w:type="pct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413" w:type="pct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464" w:type="pct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4" w:type="pct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703" w:type="pct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642" w:type="pct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660" w:type="pct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459" w:type="pct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615" w:type="pct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486" w:type="pct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413" w:type="pct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464" w:type="pct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</w:tr>
    </w:tbl>
    <w:p>
      <w:pPr>
        <w:widowControl/>
        <w:autoSpaceDE w:val="0"/>
        <w:autoSpaceDN w:val="0"/>
        <w:spacing w:line="240" w:lineRule="auto"/>
        <w:ind w:firstLine="284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</w:p>
    <w:p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</w:p>
    <w:p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rFonts w:hint="default" w:eastAsia="Calibri"/>
          <w:b/>
          <w:bCs/>
          <w:sz w:val="24"/>
          <w:szCs w:val="24"/>
          <w:lang w:val="uk-UA" w:eastAsia="en-US"/>
        </w:rPr>
      </w:pPr>
      <w:r>
        <w:rPr>
          <w:rFonts w:eastAsia="Calibri"/>
          <w:b/>
          <w:bCs/>
          <w:sz w:val="24"/>
          <w:szCs w:val="24"/>
          <w:lang w:val="uk-UA" w:eastAsia="en-US"/>
        </w:rPr>
        <w:t>2. Прибуток складу визначають за формулою</w:t>
      </w:r>
      <w:r>
        <w:rPr>
          <w:rFonts w:hint="default" w:eastAsia="Calibri"/>
          <w:b/>
          <w:bCs/>
          <w:sz w:val="24"/>
          <w:szCs w:val="24"/>
          <w:lang w:val="uk-UA" w:eastAsia="en-US"/>
        </w:rPr>
        <w:t>:</w:t>
      </w:r>
    </w:p>
    <w:p>
      <w:pPr>
        <w:widowControl/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sz w:val="24"/>
          <w:szCs w:val="24"/>
          <w:lang w:val="uk-UA" w:eastAsia="en-US"/>
        </w:rPr>
        <w:t>П = Д - В заг,</w:t>
      </w:r>
      <w:r>
        <w:rPr>
          <w:rFonts w:eastAsia="Calibri"/>
          <w:b/>
          <w:bCs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>(16)</w:t>
      </w:r>
    </w:p>
    <w:p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rFonts w:hint="default"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де Д – доходи складу, у.о./рік</w:t>
      </w:r>
      <w:r>
        <w:rPr>
          <w:rFonts w:hint="default" w:eastAsia="Calibri"/>
          <w:sz w:val="24"/>
          <w:szCs w:val="24"/>
          <w:lang w:val="uk-UA" w:eastAsia="en-US"/>
        </w:rPr>
        <w:t>;</w:t>
      </w:r>
    </w:p>
    <w:p>
      <w:pPr>
        <w:widowControl/>
        <w:numPr>
          <w:ilvl w:val="0"/>
          <w:numId w:val="1"/>
        </w:numPr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>
        <w:rPr>
          <w:rFonts w:hint="default" w:eastAsia="Calibri"/>
          <w:b/>
          <w:bCs/>
          <w:sz w:val="24"/>
          <w:szCs w:val="24"/>
          <w:lang w:val="uk-UA" w:eastAsia="en-US"/>
        </w:rPr>
        <w:t xml:space="preserve">Доходи </w:t>
      </w:r>
      <w:r>
        <w:rPr>
          <w:rFonts w:eastAsia="Calibri"/>
          <w:b/>
          <w:bCs/>
          <w:sz w:val="24"/>
          <w:szCs w:val="24"/>
          <w:lang w:val="uk-UA" w:eastAsia="en-US"/>
        </w:rPr>
        <w:t xml:space="preserve"> визначають за формулою:</w:t>
      </w:r>
    </w:p>
    <w:p>
      <w:pPr>
        <w:widowControl/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 xml:space="preserve">Д = </w:t>
      </w:r>
      <m:oMath>
        <m:f>
          <m:fPr>
            <m:ctrlPr>
              <w:rPr>
                <w:rFonts w:ascii="Cambria Math" w:hAnsi="Cambria Math" w:eastAsia="Calibri"/>
                <w:b/>
                <w:bCs/>
                <w:i/>
                <w:sz w:val="28"/>
                <w:szCs w:val="28"/>
                <w:lang w:val="uk-UA" w:eastAsia="en-US"/>
              </w:rPr>
            </m:ctrlPr>
          </m:fPr>
          <m:num>
            <m:r>
              <m:rPr>
                <m:sty m:val="bi"/>
              </m:rPr>
              <w:rPr>
                <w:rFonts w:hint="default" w:ascii="Cambria Math" w:hAnsi="Cambria Math" w:eastAsia="Calibri"/>
                <w:sz w:val="28"/>
                <w:szCs w:val="28"/>
                <w:lang w:val="en-US" w:eastAsia="en-US"/>
              </w:rPr>
              <m:t>T</m:t>
            </m:r>
            <m:r>
              <m:rPr>
                <m:sty m:val="bi"/>
              </m:rPr>
              <w:rPr>
                <w:rFonts w:ascii="Cambria Math" w:hAnsi="Cambria Math" w:eastAsia="Calibri"/>
                <w:sz w:val="28"/>
                <w:szCs w:val="28"/>
                <w:lang w:eastAsia="en-US"/>
              </w:rPr>
              <m:t>×</m:t>
            </m:r>
            <m:r>
              <m:rPr>
                <m:sty m:val="bi"/>
              </m:rPr>
              <w:rPr>
                <w:rFonts w:hint="default" w:ascii="Cambria Math" w:hAnsi="Cambria Math" w:eastAsia="Calibri"/>
                <w:sz w:val="28"/>
                <w:szCs w:val="28"/>
                <w:lang w:val="en-US" w:eastAsia="en-US"/>
              </w:rPr>
              <m:t>R</m:t>
            </m:r>
            <m:r>
              <m:rPr>
                <m:sty m:val="bi"/>
              </m:rPr>
              <w:rPr>
                <w:rFonts w:ascii="Cambria Math" w:hAnsi="Cambria Math" w:eastAsia="Calibri"/>
                <w:sz w:val="28"/>
                <w:szCs w:val="28"/>
                <w:lang w:eastAsia="en-US"/>
              </w:rPr>
              <m:t>×</m:t>
            </m:r>
            <m:r>
              <m:rPr>
                <m:sty m:val="bi"/>
              </m:rPr>
              <w:rPr>
                <w:rFonts w:hint="default" w:ascii="Cambria Math" w:hAnsi="Cambria Math" w:eastAsia="Calibri"/>
                <w:sz w:val="28"/>
                <w:szCs w:val="28"/>
                <w:lang w:val="en-US" w:eastAsia="en-US"/>
              </w:rPr>
              <m:t>N</m:t>
            </m:r>
            <m:ctrlPr>
              <w:rPr>
                <w:rFonts w:ascii="Cambria Math" w:hAnsi="Cambria Math" w:eastAsia="Calibri"/>
                <w:b/>
                <w:bCs/>
                <w:i/>
                <w:sz w:val="28"/>
                <w:szCs w:val="28"/>
                <w:lang w:val="uk-UA" w:eastAsia="en-US"/>
              </w:rPr>
            </m:ctrlPr>
          </m:num>
          <m:den>
            <m:r>
              <m:rPr>
                <m:sty m:val="bi"/>
              </m:rPr>
              <w:rPr>
                <w:rFonts w:hint="default" w:ascii="Cambria Math" w:hAnsi="Cambria Math" w:eastAsia="Calibri"/>
                <w:sz w:val="28"/>
                <w:szCs w:val="28"/>
                <w:lang w:val="uk-UA" w:eastAsia="en-US"/>
              </w:rPr>
              <m:t>100</m:t>
            </m:r>
            <m:ctrlPr>
              <w:rPr>
                <w:rFonts w:ascii="Cambria Math" w:hAnsi="Cambria Math" w:eastAsia="Calibri"/>
                <w:b/>
                <w:bCs/>
                <w:i/>
                <w:sz w:val="28"/>
                <w:szCs w:val="28"/>
                <w:lang w:val="uk-UA" w:eastAsia="en-US"/>
              </w:rPr>
            </m:ctrlPr>
          </m:den>
        </m:f>
      </m:oMath>
      <w:r>
        <w:rPr>
          <w:rFonts w:eastAsia="Calibri"/>
          <w:b/>
          <w:bCs/>
          <w:sz w:val="28"/>
          <w:szCs w:val="28"/>
          <w:lang w:val="uk-UA" w:eastAsia="en-US"/>
        </w:rPr>
        <w:t>,</w:t>
      </w:r>
      <w:r>
        <w:rPr>
          <w:rFonts w:eastAsia="Calibri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>(17)</w:t>
      </w:r>
    </w:p>
    <w:p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rFonts w:hint="default"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де </w:t>
      </w:r>
      <w:r>
        <w:rPr>
          <w:rFonts w:eastAsia="Calibri"/>
          <w:i/>
          <w:iCs/>
          <w:sz w:val="24"/>
          <w:szCs w:val="24"/>
          <w:lang w:val="uk-UA" w:eastAsia="en-US"/>
        </w:rPr>
        <w:t xml:space="preserve">T </w:t>
      </w:r>
      <w:r>
        <w:rPr>
          <w:rFonts w:eastAsia="Calibri"/>
          <w:sz w:val="24"/>
          <w:szCs w:val="24"/>
          <w:lang w:val="uk-UA" w:eastAsia="en-US"/>
        </w:rPr>
        <w:t>– вантажообіг складу (вхідний чи вихідний потік), т/рік;</w:t>
      </w:r>
    </w:p>
    <w:p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i/>
          <w:iCs/>
          <w:sz w:val="24"/>
          <w:szCs w:val="24"/>
          <w:lang w:val="uk-UA" w:eastAsia="en-US"/>
        </w:rPr>
        <w:t xml:space="preserve">R </w:t>
      </w:r>
      <w:r>
        <w:rPr>
          <w:rFonts w:eastAsia="Calibri"/>
          <w:sz w:val="24"/>
          <w:szCs w:val="24"/>
          <w:lang w:val="uk-UA" w:eastAsia="en-US"/>
        </w:rPr>
        <w:t>– середня вартість закупівлі товарів, у.о./т.</w:t>
      </w:r>
    </w:p>
    <w:p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i/>
          <w:iCs/>
          <w:sz w:val="24"/>
          <w:szCs w:val="24"/>
          <w:lang w:val="uk-UA" w:eastAsia="en-US"/>
        </w:rPr>
        <w:t xml:space="preserve">N </w:t>
      </w:r>
      <w:r>
        <w:rPr>
          <w:rFonts w:eastAsia="Calibri"/>
          <w:sz w:val="24"/>
          <w:szCs w:val="24"/>
          <w:lang w:val="uk-UA" w:eastAsia="en-US"/>
        </w:rPr>
        <w:t>– торгова надбавка при оптовому продажі товарів, %.</w:t>
      </w:r>
    </w:p>
    <w:p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hint="default" w:eastAsia="Calibri"/>
          <w:sz w:val="24"/>
          <w:szCs w:val="24"/>
          <w:lang w:val="uk-UA" w:eastAsia="en-US"/>
        </w:rPr>
        <w:t>4</w:t>
      </w:r>
      <w:r>
        <w:rPr>
          <w:rFonts w:eastAsia="Calibri"/>
          <w:sz w:val="24"/>
          <w:szCs w:val="24"/>
          <w:lang w:val="uk-UA" w:eastAsia="en-US"/>
        </w:rPr>
        <w:t xml:space="preserve">. </w:t>
      </w:r>
      <w:r>
        <w:rPr>
          <w:rFonts w:eastAsia="Calibri"/>
          <w:b/>
          <w:bCs/>
          <w:sz w:val="24"/>
          <w:szCs w:val="24"/>
          <w:lang w:val="uk-UA" w:eastAsia="en-US"/>
        </w:rPr>
        <w:t xml:space="preserve">Точку беззбитковості </w:t>
      </w:r>
      <w:r>
        <w:rPr>
          <w:rFonts w:eastAsia="Calibri"/>
          <w:sz w:val="24"/>
          <w:szCs w:val="24"/>
          <w:lang w:val="uk-UA" w:eastAsia="en-US"/>
        </w:rPr>
        <w:t>визначають на підставі розрахунку прибутку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складу. Для цього у формулу розрахунку прибутку замість значення існуючого вантажообігу (</w:t>
      </w:r>
      <w:r>
        <w:rPr>
          <w:rFonts w:eastAsia="Calibri"/>
          <w:i/>
          <w:iCs/>
          <w:sz w:val="24"/>
          <w:szCs w:val="24"/>
          <w:lang w:val="uk-UA" w:eastAsia="en-US"/>
        </w:rPr>
        <w:t>T</w:t>
      </w:r>
      <w:bookmarkStart w:id="0" w:name="_GoBack"/>
      <w:bookmarkEnd w:id="0"/>
      <w:r>
        <w:rPr>
          <w:rFonts w:eastAsia="Calibri"/>
          <w:sz w:val="24"/>
          <w:szCs w:val="24"/>
          <w:lang w:val="uk-UA" w:eastAsia="en-US"/>
        </w:rPr>
        <w:t>) підставляють вантажообіг, що дозволить працювати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складу при нульовому прибутку (</w:t>
      </w:r>
      <w:r>
        <w:rPr>
          <w:rFonts w:eastAsia="Calibri"/>
          <w:i/>
          <w:iCs/>
          <w:sz w:val="24"/>
          <w:szCs w:val="24"/>
          <w:lang w:val="uk-UA" w:eastAsia="en-US"/>
        </w:rPr>
        <w:t>T</w:t>
      </w:r>
      <w:r>
        <w:rPr>
          <w:rFonts w:eastAsia="Calibri"/>
          <w:sz w:val="24"/>
          <w:szCs w:val="24"/>
          <w:lang w:val="uk-UA" w:eastAsia="en-US"/>
        </w:rPr>
        <w:t>зб). Далі отриманий вираз прирівнюють до нуля і знаходять шуканий вантажообіг.</w:t>
      </w:r>
    </w:p>
    <w:p>
      <w:pPr>
        <w:widowControl/>
        <w:autoSpaceDE w:val="0"/>
        <w:autoSpaceDN w:val="0"/>
        <w:spacing w:line="240" w:lineRule="auto"/>
        <w:ind w:firstLine="284"/>
        <w:jc w:val="center"/>
        <w:textAlignment w:val="auto"/>
        <w:rPr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П = </w:t>
      </w:r>
      <m:oMath>
        <m:f>
          <m:fPr>
            <m:ctrlPr>
              <w:rPr>
                <w:rFonts w:ascii="Cambria Math" w:hAnsi="Cambria Math" w:eastAsia="Calibri"/>
                <w:i/>
                <w:sz w:val="24"/>
                <w:szCs w:val="24"/>
                <w:lang w:val="uk-UA"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 w:eastAsia="Calibri"/>
                    <w:i/>
                    <w:sz w:val="24"/>
                    <w:szCs w:val="24"/>
                    <w:lang w:val="uk-UA" w:eastAsia="en-US"/>
                  </w:rPr>
                </m:ctrlPr>
              </m:sSubPr>
              <m:e>
                <m:r>
                  <m:rPr/>
                  <w:rPr>
                    <w:rFonts w:ascii="Cambria Math" w:hAnsi="Cambria Math" w:eastAsia="Calibri"/>
                    <w:sz w:val="24"/>
                    <w:szCs w:val="24"/>
                    <w:lang w:val="uk-UA" w:eastAsia="en-US"/>
                  </w:rPr>
                  <m:t>Т</m:t>
                </m:r>
                <m:ctrlPr>
                  <w:rPr>
                    <w:rFonts w:ascii="Cambria Math" w:hAnsi="Cambria Math" w:eastAsia="Calibri"/>
                    <w:i/>
                    <w:sz w:val="24"/>
                    <w:szCs w:val="24"/>
                    <w:lang w:val="uk-UA" w:eastAsia="en-US"/>
                  </w:rPr>
                </m:ctrlPr>
              </m:e>
              <m:sub>
                <m:r>
                  <m:rPr/>
                  <w:rPr>
                    <w:rFonts w:ascii="Cambria Math" w:hAnsi="Cambria Math" w:eastAsia="Calibri"/>
                    <w:sz w:val="24"/>
                    <w:szCs w:val="24"/>
                    <w:lang w:val="uk-UA" w:eastAsia="en-US"/>
                  </w:rPr>
                  <m:t>зб</m:t>
                </m:r>
                <m:ctrlPr>
                  <w:rPr>
                    <w:rFonts w:ascii="Cambria Math" w:hAnsi="Cambria Math" w:eastAsia="Calibri"/>
                    <w:i/>
                    <w:sz w:val="24"/>
                    <w:szCs w:val="24"/>
                    <w:lang w:val="uk-UA" w:eastAsia="en-US"/>
                  </w:rPr>
                </m:ctrlPr>
              </m:sub>
            </m:sSub>
            <m:r>
              <m:rPr/>
              <w:rPr>
                <w:rFonts w:ascii="Cambria Math" w:hAnsi="Cambria Math" w:eastAsia="Calibri"/>
                <w:sz w:val="24"/>
                <w:szCs w:val="24"/>
                <w:lang w:val="uk-UA" w:eastAsia="en-US"/>
              </w:rPr>
              <m:t>×</m:t>
            </m:r>
            <m:r>
              <m:rPr/>
              <w:rPr>
                <w:rFonts w:ascii="Cambria Math" w:hAnsi="Cambria Math" w:eastAsia="Calibri"/>
                <w:sz w:val="24"/>
                <w:szCs w:val="24"/>
                <w:lang w:val="en-US" w:eastAsia="en-US"/>
              </w:rPr>
              <m:t>R</m:t>
            </m:r>
            <m:r>
              <m:rPr/>
              <w:rPr>
                <w:rFonts w:ascii="Cambria Math" w:hAnsi="Cambria Math" w:eastAsia="Calibri"/>
                <w:sz w:val="24"/>
                <w:szCs w:val="24"/>
                <w:lang w:eastAsia="en-US"/>
              </w:rPr>
              <m:t>×</m:t>
            </m:r>
            <m:r>
              <m:rPr/>
              <w:rPr>
                <w:rFonts w:ascii="Cambria Math" w:hAnsi="Cambria Math" w:eastAsia="Calibri"/>
                <w:sz w:val="24"/>
                <w:szCs w:val="24"/>
                <w:lang w:val="en-US" w:eastAsia="en-US"/>
              </w:rPr>
              <m:t>N</m:t>
            </m:r>
            <m:ctrlPr>
              <w:rPr>
                <w:rFonts w:ascii="Cambria Math" w:hAnsi="Cambria Math" w:eastAsia="Calibri"/>
                <w:i/>
                <w:sz w:val="24"/>
                <w:szCs w:val="24"/>
                <w:lang w:val="uk-UA" w:eastAsia="en-US"/>
              </w:rPr>
            </m:ctrlPr>
          </m:num>
          <m:den>
            <m:r>
              <m:rPr/>
              <w:rPr>
                <w:rFonts w:ascii="Cambria Math" w:hAnsi="Cambria Math" w:eastAsia="Calibri"/>
                <w:sz w:val="24"/>
                <w:szCs w:val="24"/>
                <w:lang w:val="uk-UA" w:eastAsia="en-US"/>
              </w:rPr>
              <m:t>100</m:t>
            </m:r>
            <m:ctrlPr>
              <w:rPr>
                <w:rFonts w:ascii="Cambria Math" w:hAnsi="Cambria Math" w:eastAsia="Calibri"/>
                <w:i/>
                <w:sz w:val="24"/>
                <w:szCs w:val="24"/>
                <w:lang w:val="uk-UA" w:eastAsia="en-US"/>
              </w:rPr>
            </m:ctrlPr>
          </m:den>
        </m:f>
        <m:r>
          <m:rPr/>
          <w:rPr>
            <w:rFonts w:ascii="Cambria Math" w:hAnsi="Cambria Math" w:eastAsia="Calibri"/>
            <w:sz w:val="24"/>
            <w:szCs w:val="24"/>
            <w:lang w:val="uk-UA" w:eastAsia="en-US"/>
          </w:rPr>
          <m:t>−k×</m:t>
        </m:r>
        <m:sSub>
          <m:sSubPr>
            <m:ctrlPr>
              <w:rPr>
                <w:rFonts w:ascii="Cambria Math" w:hAnsi="Cambria Math" w:eastAsia="Calibri"/>
                <w:i/>
                <w:sz w:val="24"/>
                <w:szCs w:val="24"/>
                <w:lang w:val="uk-UA" w:eastAsia="en-US"/>
              </w:rPr>
            </m:ctrlPr>
          </m:sSubPr>
          <m:e>
            <m:r>
              <m:rPr/>
              <w:rPr>
                <w:rFonts w:ascii="Cambria Math" w:hAnsi="Cambria Math" w:eastAsia="Calibri"/>
                <w:sz w:val="24"/>
                <w:szCs w:val="24"/>
                <w:lang w:val="uk-UA" w:eastAsia="en-US"/>
              </w:rPr>
              <m:t>T</m:t>
            </m:r>
            <m:ctrlPr>
              <w:rPr>
                <w:rFonts w:ascii="Cambria Math" w:hAnsi="Cambria Math" w:eastAsia="Calibri"/>
                <w:i/>
                <w:sz w:val="24"/>
                <w:szCs w:val="24"/>
                <w:lang w:val="uk-UA" w:eastAsia="en-US"/>
              </w:rPr>
            </m:ctrlPr>
          </m:e>
          <m:sub>
            <m:r>
              <m:rPr/>
              <w:rPr>
                <w:rFonts w:ascii="Cambria Math" w:hAnsi="Cambria Math" w:eastAsia="Calibri"/>
                <w:sz w:val="24"/>
                <w:szCs w:val="24"/>
                <w:lang w:val="uk-UA" w:eastAsia="en-US"/>
              </w:rPr>
              <m:t>зб</m:t>
            </m:r>
            <m:ctrlPr>
              <w:rPr>
                <w:rFonts w:ascii="Cambria Math" w:hAnsi="Cambria Math" w:eastAsia="Calibri"/>
                <w:i/>
                <w:sz w:val="24"/>
                <w:szCs w:val="24"/>
                <w:lang w:val="uk-UA" w:eastAsia="en-US"/>
              </w:rPr>
            </m:ctrlPr>
          </m:sub>
        </m:sSub>
        <m:r>
          <m:rPr/>
          <w:rPr>
            <w:rFonts w:ascii="Cambria Math" w:hAnsi="Cambria Math" w:eastAsia="Calibri"/>
            <w:sz w:val="24"/>
            <w:szCs w:val="24"/>
            <w:lang w:val="uk-UA" w:eastAsia="en-US"/>
          </w:rPr>
          <m:t>×</m:t>
        </m:r>
        <m:r>
          <m:rPr/>
          <w:rPr>
            <w:rFonts w:ascii="Cambria Math" w:hAnsi="Cambria Math" w:eastAsia="Calibri"/>
            <w:sz w:val="24"/>
            <w:szCs w:val="24"/>
            <w:lang w:val="en-US" w:eastAsia="en-US"/>
          </w:rPr>
          <m:t>R</m:t>
        </m:r>
        <m:r>
          <m:rPr/>
          <w:rPr>
            <w:rFonts w:ascii="Cambria Math" w:hAnsi="Cambria Math" w:eastAsia="Calibri"/>
            <w:sz w:val="24"/>
            <w:szCs w:val="24"/>
            <w:lang w:eastAsia="en-US"/>
          </w:rPr>
          <m:t xml:space="preserve">− </m:t>
        </m:r>
        <m:sSub>
          <m:sSubPr>
            <m:ctrlPr>
              <w:rPr>
                <w:rFonts w:ascii="Cambria Math" w:hAnsi="Cambria Math" w:eastAsia="Calibri"/>
                <w:i/>
                <w:sz w:val="24"/>
                <w:szCs w:val="24"/>
                <w:lang w:val="en-US" w:eastAsia="en-US"/>
              </w:rPr>
            </m:ctrlPr>
          </m:sSubPr>
          <m:e>
            <m:r>
              <m:rPr/>
              <w:rPr>
                <w:rFonts w:ascii="Cambria Math" w:hAnsi="Cambria Math" w:eastAsia="Calibri"/>
                <w:sz w:val="24"/>
                <w:szCs w:val="24"/>
                <w:lang w:val="uk-UA" w:eastAsia="en-US"/>
              </w:rPr>
              <m:t>В</m:t>
            </m:r>
            <m:ctrlPr>
              <w:rPr>
                <w:rFonts w:ascii="Cambria Math" w:hAnsi="Cambria Math" w:eastAsia="Calibri"/>
                <w:i/>
                <w:sz w:val="24"/>
                <w:szCs w:val="24"/>
                <w:lang w:val="en-US" w:eastAsia="en-US"/>
              </w:rPr>
            </m:ctrlPr>
          </m:e>
          <m:sub>
            <m:r>
              <m:rPr/>
              <w:rPr>
                <w:rFonts w:ascii="Cambria Math" w:hAnsi="Cambria Math" w:eastAsia="Calibri"/>
                <w:sz w:val="24"/>
                <w:szCs w:val="24"/>
                <w:lang w:eastAsia="en-US"/>
              </w:rPr>
              <m:t>вп.пит</m:t>
            </m:r>
            <m:ctrlPr>
              <w:rPr>
                <w:rFonts w:ascii="Cambria Math" w:hAnsi="Cambria Math" w:eastAsia="Calibri"/>
                <w:i/>
                <w:sz w:val="24"/>
                <w:szCs w:val="24"/>
                <w:lang w:val="en-US" w:eastAsia="en-US"/>
              </w:rPr>
            </m:ctrlPr>
          </m:sub>
        </m:sSub>
        <m:r>
          <m:rPr/>
          <w:rPr>
            <w:rFonts w:ascii="Cambria Math" w:hAnsi="Cambria Math" w:eastAsia="Calibri"/>
            <w:sz w:val="24"/>
            <w:szCs w:val="24"/>
            <w:lang w:eastAsia="en-US"/>
          </w:rPr>
          <m:t>×</m:t>
        </m:r>
        <m:sSub>
          <m:sSubPr>
            <m:ctrlPr>
              <w:rPr>
                <w:rFonts w:ascii="Cambria Math" w:hAnsi="Cambria Math" w:eastAsia="Calibri"/>
                <w:i/>
                <w:sz w:val="24"/>
                <w:szCs w:val="24"/>
                <w:lang w:val="en-US" w:eastAsia="en-US"/>
              </w:rPr>
            </m:ctrlPr>
          </m:sSubPr>
          <m:e>
            <m:r>
              <m:rPr/>
              <w:rPr>
                <w:rFonts w:ascii="Cambria Math" w:hAnsi="Cambria Math" w:eastAsia="Calibri"/>
                <w:sz w:val="24"/>
                <w:szCs w:val="24"/>
                <w:lang w:eastAsia="en-US"/>
              </w:rPr>
              <m:t>Т</m:t>
            </m:r>
            <m:ctrlPr>
              <w:rPr>
                <w:rFonts w:ascii="Cambria Math" w:hAnsi="Cambria Math" w:eastAsia="Calibri"/>
                <w:i/>
                <w:sz w:val="24"/>
                <w:szCs w:val="24"/>
                <w:lang w:val="en-US" w:eastAsia="en-US"/>
              </w:rPr>
            </m:ctrlPr>
          </m:e>
          <m:sub>
            <m:r>
              <m:rPr/>
              <w:rPr>
                <w:rFonts w:ascii="Cambria Math" w:hAnsi="Cambria Math" w:eastAsia="Calibri"/>
                <w:sz w:val="24"/>
                <w:szCs w:val="24"/>
                <w:lang w:eastAsia="en-US"/>
              </w:rPr>
              <m:t>зб</m:t>
            </m:r>
            <m:ctrlPr>
              <w:rPr>
                <w:rFonts w:ascii="Cambria Math" w:hAnsi="Cambria Math" w:eastAsia="Calibri"/>
                <w:i/>
                <w:sz w:val="24"/>
                <w:szCs w:val="24"/>
                <w:lang w:val="en-US" w:eastAsia="en-US"/>
              </w:rPr>
            </m:ctrlPr>
          </m:sub>
        </m:sSub>
        <m:r>
          <m:rPr/>
          <w:rPr>
            <w:rFonts w:ascii="Cambria Math" w:hAnsi="Cambria Math" w:eastAsia="Calibri"/>
            <w:sz w:val="24"/>
            <w:szCs w:val="24"/>
            <w:lang w:eastAsia="en-US"/>
          </w:rPr>
          <m:t xml:space="preserve">− </m:t>
        </m:r>
        <m:sSub>
          <m:sSubPr>
            <m:ctrlPr>
              <w:rPr>
                <w:rFonts w:ascii="Cambria Math" w:hAnsi="Cambria Math" w:eastAsia="Calibri"/>
                <w:i/>
                <w:sz w:val="24"/>
                <w:szCs w:val="24"/>
                <w:lang w:val="en-US" w:eastAsia="en-US"/>
              </w:rPr>
            </m:ctrlPr>
          </m:sSubPr>
          <m:e>
            <m:r>
              <m:rPr/>
              <w:rPr>
                <w:rFonts w:ascii="Cambria Math" w:hAnsi="Cambria Math" w:eastAsia="Calibri"/>
                <w:sz w:val="24"/>
                <w:szCs w:val="24"/>
                <w:lang w:eastAsia="en-US"/>
              </w:rPr>
              <m:t>В</m:t>
            </m:r>
            <m:ctrlPr>
              <w:rPr>
                <w:rFonts w:ascii="Cambria Math" w:hAnsi="Cambria Math" w:eastAsia="Calibri"/>
                <w:i/>
                <w:sz w:val="24"/>
                <w:szCs w:val="24"/>
                <w:lang w:val="en-US" w:eastAsia="en-US"/>
              </w:rPr>
            </m:ctrlPr>
          </m:e>
          <m:sub>
            <m:r>
              <m:rPr/>
              <w:rPr>
                <w:rFonts w:ascii="Cambria Math" w:hAnsi="Cambria Math" w:eastAsia="Calibri"/>
                <w:sz w:val="24"/>
                <w:szCs w:val="24"/>
                <w:lang w:eastAsia="en-US"/>
              </w:rPr>
              <m:t>пост</m:t>
            </m:r>
            <m:ctrlPr>
              <w:rPr>
                <w:rFonts w:ascii="Cambria Math" w:hAnsi="Cambria Math" w:eastAsia="Calibri"/>
                <w:i/>
                <w:sz w:val="24"/>
                <w:szCs w:val="24"/>
                <w:lang w:val="en-US" w:eastAsia="en-US"/>
              </w:rPr>
            </m:ctrlPr>
          </m:sub>
        </m:sSub>
      </m:oMath>
    </w:p>
    <w:p>
      <w:pPr>
        <w:widowControl/>
        <w:autoSpaceDE w:val="0"/>
        <w:autoSpaceDN w:val="0"/>
        <w:spacing w:line="240" w:lineRule="auto"/>
        <w:ind w:firstLine="284"/>
        <w:jc w:val="right"/>
        <w:textAlignment w:val="auto"/>
        <w:rPr>
          <w:sz w:val="24"/>
          <w:szCs w:val="24"/>
          <w:lang w:val="uk-UA" w:eastAsia="en-US"/>
        </w:rPr>
      </w:pPr>
      <m:oMath>
        <m:f>
          <m:fPr>
            <m:ctrlPr>
              <w:rPr>
                <w:rFonts w:ascii="Cambria Math" w:hAnsi="Cambria Math" w:eastAsia="Calibri"/>
                <w:i/>
                <w:sz w:val="24"/>
                <w:szCs w:val="24"/>
                <w:lang w:val="uk-UA"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 w:eastAsia="Calibri"/>
                    <w:i/>
                    <w:sz w:val="24"/>
                    <w:szCs w:val="24"/>
                    <w:lang w:val="uk-UA" w:eastAsia="en-US"/>
                  </w:rPr>
                </m:ctrlPr>
              </m:sSubPr>
              <m:e>
                <m:r>
                  <m:rPr/>
                  <w:rPr>
                    <w:rFonts w:ascii="Cambria Math" w:hAnsi="Cambria Math" w:eastAsia="Calibri"/>
                    <w:sz w:val="24"/>
                    <w:szCs w:val="24"/>
                    <w:lang w:val="uk-UA" w:eastAsia="en-US"/>
                  </w:rPr>
                  <m:t>Т</m:t>
                </m:r>
                <m:ctrlPr>
                  <w:rPr>
                    <w:rFonts w:ascii="Cambria Math" w:hAnsi="Cambria Math" w:eastAsia="Calibri"/>
                    <w:i/>
                    <w:sz w:val="24"/>
                    <w:szCs w:val="24"/>
                    <w:lang w:val="uk-UA" w:eastAsia="en-US"/>
                  </w:rPr>
                </m:ctrlPr>
              </m:e>
              <m:sub>
                <m:r>
                  <m:rPr/>
                  <w:rPr>
                    <w:rFonts w:ascii="Cambria Math" w:hAnsi="Cambria Math" w:eastAsia="Calibri"/>
                    <w:sz w:val="24"/>
                    <w:szCs w:val="24"/>
                    <w:lang w:val="uk-UA" w:eastAsia="en-US"/>
                  </w:rPr>
                  <m:t>зб</m:t>
                </m:r>
                <m:ctrlPr>
                  <w:rPr>
                    <w:rFonts w:ascii="Cambria Math" w:hAnsi="Cambria Math" w:eastAsia="Calibri"/>
                    <w:i/>
                    <w:sz w:val="24"/>
                    <w:szCs w:val="24"/>
                    <w:lang w:val="uk-UA" w:eastAsia="en-US"/>
                  </w:rPr>
                </m:ctrlPr>
              </m:sub>
            </m:sSub>
            <m:r>
              <m:rPr/>
              <w:rPr>
                <w:rFonts w:ascii="Cambria Math" w:hAnsi="Cambria Math" w:eastAsia="Calibri"/>
                <w:sz w:val="24"/>
                <w:szCs w:val="24"/>
                <w:lang w:val="uk-UA" w:eastAsia="en-US"/>
              </w:rPr>
              <m:t>×</m:t>
            </m:r>
            <m:r>
              <m:rPr/>
              <w:rPr>
                <w:rFonts w:ascii="Cambria Math" w:hAnsi="Cambria Math" w:eastAsia="Calibri"/>
                <w:sz w:val="24"/>
                <w:szCs w:val="24"/>
                <w:lang w:val="en-US" w:eastAsia="en-US"/>
              </w:rPr>
              <m:t>R</m:t>
            </m:r>
            <m:r>
              <m:rPr/>
              <w:rPr>
                <w:rFonts w:ascii="Cambria Math" w:hAnsi="Cambria Math" w:eastAsia="Calibri"/>
                <w:sz w:val="24"/>
                <w:szCs w:val="24"/>
                <w:lang w:val="uk-UA" w:eastAsia="en-US"/>
              </w:rPr>
              <m:t>×</m:t>
            </m:r>
            <m:r>
              <m:rPr/>
              <w:rPr>
                <w:rFonts w:ascii="Cambria Math" w:hAnsi="Cambria Math" w:eastAsia="Calibri"/>
                <w:sz w:val="24"/>
                <w:szCs w:val="24"/>
                <w:lang w:val="en-US" w:eastAsia="en-US"/>
              </w:rPr>
              <m:t>N</m:t>
            </m:r>
            <m:ctrlPr>
              <w:rPr>
                <w:rFonts w:ascii="Cambria Math" w:hAnsi="Cambria Math" w:eastAsia="Calibri"/>
                <w:i/>
                <w:sz w:val="24"/>
                <w:szCs w:val="24"/>
                <w:lang w:val="uk-UA" w:eastAsia="en-US"/>
              </w:rPr>
            </m:ctrlPr>
          </m:num>
          <m:den>
            <m:r>
              <m:rPr/>
              <w:rPr>
                <w:rFonts w:ascii="Cambria Math" w:hAnsi="Cambria Math" w:eastAsia="Calibri"/>
                <w:sz w:val="24"/>
                <w:szCs w:val="24"/>
                <w:lang w:val="uk-UA" w:eastAsia="en-US"/>
              </w:rPr>
              <m:t>100</m:t>
            </m:r>
            <m:ctrlPr>
              <w:rPr>
                <w:rFonts w:ascii="Cambria Math" w:hAnsi="Cambria Math" w:eastAsia="Calibri"/>
                <w:i/>
                <w:sz w:val="24"/>
                <w:szCs w:val="24"/>
                <w:lang w:val="uk-UA" w:eastAsia="en-US"/>
              </w:rPr>
            </m:ctrlPr>
          </m:den>
        </m:f>
        <m:r>
          <m:rPr/>
          <w:rPr>
            <w:rFonts w:ascii="Cambria Math" w:hAnsi="Cambria Math" w:eastAsia="Calibri"/>
            <w:sz w:val="24"/>
            <w:szCs w:val="24"/>
            <w:lang w:val="uk-UA" w:eastAsia="en-US"/>
          </w:rPr>
          <m:t>−k×</m:t>
        </m:r>
        <m:sSub>
          <m:sSubPr>
            <m:ctrlPr>
              <w:rPr>
                <w:rFonts w:ascii="Cambria Math" w:hAnsi="Cambria Math" w:eastAsia="Calibri"/>
                <w:i/>
                <w:sz w:val="24"/>
                <w:szCs w:val="24"/>
                <w:lang w:val="uk-UA" w:eastAsia="en-US"/>
              </w:rPr>
            </m:ctrlPr>
          </m:sSubPr>
          <m:e>
            <m:r>
              <m:rPr/>
              <w:rPr>
                <w:rFonts w:ascii="Cambria Math" w:hAnsi="Cambria Math" w:eastAsia="Calibri"/>
                <w:sz w:val="24"/>
                <w:szCs w:val="24"/>
                <w:lang w:val="uk-UA" w:eastAsia="en-US"/>
              </w:rPr>
              <m:t>T</m:t>
            </m:r>
            <m:ctrlPr>
              <w:rPr>
                <w:rFonts w:ascii="Cambria Math" w:hAnsi="Cambria Math" w:eastAsia="Calibri"/>
                <w:i/>
                <w:sz w:val="24"/>
                <w:szCs w:val="24"/>
                <w:lang w:val="uk-UA" w:eastAsia="en-US"/>
              </w:rPr>
            </m:ctrlPr>
          </m:e>
          <m:sub>
            <m:r>
              <m:rPr/>
              <w:rPr>
                <w:rFonts w:ascii="Cambria Math" w:hAnsi="Cambria Math" w:eastAsia="Calibri"/>
                <w:sz w:val="24"/>
                <w:szCs w:val="24"/>
                <w:lang w:val="uk-UA" w:eastAsia="en-US"/>
              </w:rPr>
              <m:t>зб</m:t>
            </m:r>
            <m:ctrlPr>
              <w:rPr>
                <w:rFonts w:ascii="Cambria Math" w:hAnsi="Cambria Math" w:eastAsia="Calibri"/>
                <w:i/>
                <w:sz w:val="24"/>
                <w:szCs w:val="24"/>
                <w:lang w:val="uk-UA" w:eastAsia="en-US"/>
              </w:rPr>
            </m:ctrlPr>
          </m:sub>
        </m:sSub>
        <m:r>
          <m:rPr/>
          <w:rPr>
            <w:rFonts w:ascii="Cambria Math" w:hAnsi="Cambria Math" w:eastAsia="Calibri"/>
            <w:sz w:val="24"/>
            <w:szCs w:val="24"/>
            <w:lang w:val="uk-UA" w:eastAsia="en-US"/>
          </w:rPr>
          <m:t>×</m:t>
        </m:r>
        <m:r>
          <m:rPr/>
          <w:rPr>
            <w:rFonts w:ascii="Cambria Math" w:hAnsi="Cambria Math" w:eastAsia="Calibri"/>
            <w:sz w:val="24"/>
            <w:szCs w:val="24"/>
            <w:lang w:val="en-US" w:eastAsia="en-US"/>
          </w:rPr>
          <m:t>R</m:t>
        </m:r>
        <m:r>
          <m:rPr/>
          <w:rPr>
            <w:rFonts w:ascii="Cambria Math" w:hAnsi="Cambria Math" w:eastAsia="Calibri"/>
            <w:sz w:val="24"/>
            <w:szCs w:val="24"/>
            <w:lang w:val="uk-UA" w:eastAsia="en-US"/>
          </w:rPr>
          <m:t xml:space="preserve">− </m:t>
        </m:r>
        <m:sSub>
          <m:sSubPr>
            <m:ctrlPr>
              <w:rPr>
                <w:rFonts w:ascii="Cambria Math" w:hAnsi="Cambria Math" w:eastAsia="Calibri"/>
                <w:i/>
                <w:sz w:val="24"/>
                <w:szCs w:val="24"/>
                <w:lang w:val="en-US" w:eastAsia="en-US"/>
              </w:rPr>
            </m:ctrlPr>
          </m:sSubPr>
          <m:e>
            <m:r>
              <m:rPr/>
              <w:rPr>
                <w:rFonts w:ascii="Cambria Math" w:hAnsi="Cambria Math" w:eastAsia="Calibri"/>
                <w:sz w:val="24"/>
                <w:szCs w:val="24"/>
                <w:lang w:val="uk-UA" w:eastAsia="en-US"/>
              </w:rPr>
              <m:t>В</m:t>
            </m:r>
            <m:ctrlPr>
              <w:rPr>
                <w:rFonts w:ascii="Cambria Math" w:hAnsi="Cambria Math" w:eastAsia="Calibri"/>
                <w:i/>
                <w:sz w:val="24"/>
                <w:szCs w:val="24"/>
                <w:lang w:val="en-US" w:eastAsia="en-US"/>
              </w:rPr>
            </m:ctrlPr>
          </m:e>
          <m:sub>
            <m:r>
              <m:rPr/>
              <w:rPr>
                <w:rFonts w:ascii="Cambria Math" w:hAnsi="Cambria Math" w:eastAsia="Calibri"/>
                <w:sz w:val="24"/>
                <w:szCs w:val="24"/>
                <w:lang w:val="uk-UA" w:eastAsia="en-US"/>
              </w:rPr>
              <m:t>вп.пит</m:t>
            </m:r>
            <m:ctrlPr>
              <w:rPr>
                <w:rFonts w:ascii="Cambria Math" w:hAnsi="Cambria Math" w:eastAsia="Calibri"/>
                <w:i/>
                <w:sz w:val="24"/>
                <w:szCs w:val="24"/>
                <w:lang w:val="en-US" w:eastAsia="en-US"/>
              </w:rPr>
            </m:ctrlPr>
          </m:sub>
        </m:sSub>
        <m:r>
          <m:rPr/>
          <w:rPr>
            <w:rFonts w:ascii="Cambria Math" w:hAnsi="Cambria Math" w:eastAsia="Calibri"/>
            <w:sz w:val="24"/>
            <w:szCs w:val="24"/>
            <w:lang w:val="uk-UA" w:eastAsia="en-US"/>
          </w:rPr>
          <m:t>×</m:t>
        </m:r>
        <m:sSub>
          <m:sSubPr>
            <m:ctrlPr>
              <w:rPr>
                <w:rFonts w:ascii="Cambria Math" w:hAnsi="Cambria Math" w:eastAsia="Calibri"/>
                <w:i/>
                <w:sz w:val="24"/>
                <w:szCs w:val="24"/>
                <w:lang w:val="en-US" w:eastAsia="en-US"/>
              </w:rPr>
            </m:ctrlPr>
          </m:sSubPr>
          <m:e>
            <m:r>
              <m:rPr/>
              <w:rPr>
                <w:rFonts w:ascii="Cambria Math" w:hAnsi="Cambria Math" w:eastAsia="Calibri"/>
                <w:sz w:val="24"/>
                <w:szCs w:val="24"/>
                <w:lang w:val="uk-UA" w:eastAsia="en-US"/>
              </w:rPr>
              <m:t>Т</m:t>
            </m:r>
            <m:ctrlPr>
              <w:rPr>
                <w:rFonts w:ascii="Cambria Math" w:hAnsi="Cambria Math" w:eastAsia="Calibri"/>
                <w:i/>
                <w:sz w:val="24"/>
                <w:szCs w:val="24"/>
                <w:lang w:val="en-US" w:eastAsia="en-US"/>
              </w:rPr>
            </m:ctrlPr>
          </m:e>
          <m:sub>
            <m:r>
              <m:rPr/>
              <w:rPr>
                <w:rFonts w:ascii="Cambria Math" w:hAnsi="Cambria Math" w:eastAsia="Calibri"/>
                <w:sz w:val="24"/>
                <w:szCs w:val="24"/>
                <w:lang w:val="uk-UA" w:eastAsia="en-US"/>
              </w:rPr>
              <m:t>зб</m:t>
            </m:r>
            <m:ctrlPr>
              <w:rPr>
                <w:rFonts w:ascii="Cambria Math" w:hAnsi="Cambria Math" w:eastAsia="Calibri"/>
                <w:i/>
                <w:sz w:val="24"/>
                <w:szCs w:val="24"/>
                <w:lang w:val="en-US" w:eastAsia="en-US"/>
              </w:rPr>
            </m:ctrlPr>
          </m:sub>
        </m:sSub>
        <m:r>
          <m:rPr/>
          <w:rPr>
            <w:rFonts w:ascii="Cambria Math" w:hAnsi="Cambria Math" w:eastAsia="Calibri"/>
            <w:sz w:val="24"/>
            <w:szCs w:val="24"/>
            <w:lang w:val="uk-UA" w:eastAsia="en-US"/>
          </w:rPr>
          <m:t xml:space="preserve">− </m:t>
        </m:r>
        <m:sSub>
          <m:sSubPr>
            <m:ctrlPr>
              <w:rPr>
                <w:rFonts w:ascii="Cambria Math" w:hAnsi="Cambria Math" w:eastAsia="Calibri"/>
                <w:i/>
                <w:sz w:val="24"/>
                <w:szCs w:val="24"/>
                <w:lang w:val="en-US" w:eastAsia="en-US"/>
              </w:rPr>
            </m:ctrlPr>
          </m:sSubPr>
          <m:e>
            <m:r>
              <m:rPr/>
              <w:rPr>
                <w:rFonts w:ascii="Cambria Math" w:hAnsi="Cambria Math" w:eastAsia="Calibri"/>
                <w:sz w:val="24"/>
                <w:szCs w:val="24"/>
                <w:lang w:val="uk-UA" w:eastAsia="en-US"/>
              </w:rPr>
              <m:t>В</m:t>
            </m:r>
            <m:ctrlPr>
              <w:rPr>
                <w:rFonts w:ascii="Cambria Math" w:hAnsi="Cambria Math" w:eastAsia="Calibri"/>
                <w:i/>
                <w:sz w:val="24"/>
                <w:szCs w:val="24"/>
                <w:lang w:val="en-US" w:eastAsia="en-US"/>
              </w:rPr>
            </m:ctrlPr>
          </m:e>
          <m:sub>
            <m:r>
              <m:rPr/>
              <w:rPr>
                <w:rFonts w:ascii="Cambria Math" w:hAnsi="Cambria Math" w:eastAsia="Calibri"/>
                <w:sz w:val="24"/>
                <w:szCs w:val="24"/>
                <w:lang w:val="uk-UA" w:eastAsia="en-US"/>
              </w:rPr>
              <m:t>пост</m:t>
            </m:r>
            <m:ctrlPr>
              <w:rPr>
                <w:rFonts w:ascii="Cambria Math" w:hAnsi="Cambria Math" w:eastAsia="Calibri"/>
                <w:i/>
                <w:sz w:val="24"/>
                <w:szCs w:val="24"/>
                <w:lang w:val="en-US" w:eastAsia="en-US"/>
              </w:rPr>
            </m:ctrlPr>
          </m:sub>
        </m:sSub>
      </m:oMath>
      <w:r>
        <w:rPr>
          <w:i/>
          <w:sz w:val="24"/>
          <w:szCs w:val="24"/>
          <w:lang w:val="uk-UA" w:eastAsia="en-US"/>
        </w:rPr>
        <w:t xml:space="preserve"> = </w:t>
      </w:r>
      <w:r>
        <w:rPr>
          <w:sz w:val="24"/>
          <w:szCs w:val="24"/>
          <w:lang w:val="uk-UA" w:eastAsia="en-US"/>
        </w:rPr>
        <w:t>0,</w:t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>(18)</w:t>
      </w:r>
    </w:p>
    <w:p>
      <w:pPr>
        <w:widowControl/>
        <w:autoSpaceDE w:val="0"/>
        <w:autoSpaceDN w:val="0"/>
        <w:spacing w:line="240" w:lineRule="auto"/>
        <w:ind w:firstLine="284"/>
        <w:jc w:val="right"/>
        <w:textAlignment w:val="auto"/>
        <w:rPr>
          <w:rFonts w:eastAsia="Calibri"/>
          <w:sz w:val="24"/>
          <w:szCs w:val="24"/>
          <w:lang w:val="uk-UA" w:eastAsia="en-US"/>
        </w:rPr>
      </w:pPr>
      <m:oMath>
        <m:sSub>
          <m:sSubPr>
            <m:ctrlPr>
              <w:rPr>
                <w:rFonts w:ascii="Cambria Math" w:hAnsi="Cambria Math" w:eastAsia="Calibri"/>
                <w:i/>
                <w:sz w:val="28"/>
                <w:szCs w:val="28"/>
                <w:lang w:val="uk-UA" w:eastAsia="en-US"/>
              </w:rPr>
            </m:ctrlPr>
          </m:sSubPr>
          <m:e>
            <m:r>
              <m:rPr/>
              <w:rPr>
                <w:rFonts w:ascii="Cambria Math" w:hAnsi="Cambria Math" w:eastAsia="Calibri"/>
                <w:sz w:val="28"/>
                <w:szCs w:val="28"/>
                <w:lang w:val="uk-UA" w:eastAsia="en-US"/>
              </w:rPr>
              <m:t>Т</m:t>
            </m:r>
            <m:ctrlPr>
              <w:rPr>
                <w:rFonts w:ascii="Cambria Math" w:hAnsi="Cambria Math" w:eastAsia="Calibri"/>
                <w:i/>
                <w:sz w:val="28"/>
                <w:szCs w:val="28"/>
                <w:lang w:val="uk-UA" w:eastAsia="en-US"/>
              </w:rPr>
            </m:ctrlPr>
          </m:e>
          <m:sub>
            <m:r>
              <m:rPr/>
              <w:rPr>
                <w:rFonts w:ascii="Cambria Math" w:hAnsi="Cambria Math" w:eastAsia="Calibri"/>
                <w:sz w:val="28"/>
                <w:szCs w:val="28"/>
                <w:lang w:val="uk-UA" w:eastAsia="en-US"/>
              </w:rPr>
              <m:t>зб</m:t>
            </m:r>
            <m:ctrlPr>
              <w:rPr>
                <w:rFonts w:ascii="Cambria Math" w:hAnsi="Cambria Math" w:eastAsia="Calibri"/>
                <w:i/>
                <w:sz w:val="28"/>
                <w:szCs w:val="28"/>
                <w:lang w:val="uk-UA" w:eastAsia="en-US"/>
              </w:rPr>
            </m:ctrlPr>
          </m:sub>
        </m:sSub>
        <m:r>
          <m:rPr/>
          <w:rPr>
            <w:rFonts w:ascii="Cambria Math" w:hAnsi="Cambria Math" w:eastAsia="Calibri"/>
            <w:sz w:val="28"/>
            <w:szCs w:val="28"/>
            <w:lang w:val="uk-UA" w:eastAsia="en-US"/>
          </w:rPr>
          <m:t xml:space="preserve">= </m:t>
        </m:r>
        <m:f>
          <m:fPr>
            <m:ctrlPr>
              <w:rPr>
                <w:rFonts w:ascii="Cambria Math" w:hAnsi="Cambria Math" w:eastAsia="Calibri"/>
                <w:i/>
                <w:sz w:val="28"/>
                <w:szCs w:val="28"/>
                <w:lang w:val="uk-UA" w:eastAsia="en-US"/>
              </w:rPr>
            </m:ctrlPr>
          </m:fPr>
          <m:num>
            <m:r>
              <m:rPr/>
              <w:rPr>
                <w:rFonts w:ascii="Cambria Math" w:hAnsi="Cambria Math" w:eastAsia="Calibri"/>
                <w:sz w:val="28"/>
                <w:szCs w:val="28"/>
                <w:lang w:val="uk-UA" w:eastAsia="en-US"/>
              </w:rPr>
              <m:t>100×</m:t>
            </m:r>
            <m:sSub>
              <m:sSubPr>
                <m:ctrlPr>
                  <w:rPr>
                    <w:rFonts w:ascii="Cambria Math" w:hAnsi="Cambria Math" w:eastAsia="Calibri"/>
                    <w:i/>
                    <w:sz w:val="28"/>
                    <w:szCs w:val="28"/>
                    <w:lang w:val="uk-UA" w:eastAsia="en-US"/>
                  </w:rPr>
                </m:ctrlPr>
              </m:sSubPr>
              <m:e>
                <m:r>
                  <m:rPr/>
                  <w:rPr>
                    <w:rFonts w:ascii="Cambria Math" w:hAnsi="Cambria Math" w:eastAsia="Calibri"/>
                    <w:sz w:val="28"/>
                    <w:szCs w:val="28"/>
                    <w:lang w:val="uk-UA" w:eastAsia="en-US"/>
                  </w:rPr>
                  <m:t>В</m:t>
                </m:r>
                <m:ctrlPr>
                  <w:rPr>
                    <w:rFonts w:ascii="Cambria Math" w:hAnsi="Cambria Math" w:eastAsia="Calibri"/>
                    <w:i/>
                    <w:sz w:val="28"/>
                    <w:szCs w:val="28"/>
                    <w:lang w:val="uk-UA" w:eastAsia="en-US"/>
                  </w:rPr>
                </m:ctrlPr>
              </m:e>
              <m:sub>
                <m:r>
                  <m:rPr/>
                  <w:rPr>
                    <w:rFonts w:ascii="Cambria Math" w:hAnsi="Cambria Math" w:eastAsia="Calibri"/>
                    <w:sz w:val="28"/>
                    <w:szCs w:val="28"/>
                    <w:lang w:val="uk-UA" w:eastAsia="en-US"/>
                  </w:rPr>
                  <m:t>пост</m:t>
                </m:r>
                <m:ctrlPr>
                  <w:rPr>
                    <w:rFonts w:ascii="Cambria Math" w:hAnsi="Cambria Math" w:eastAsia="Calibri"/>
                    <w:i/>
                    <w:sz w:val="28"/>
                    <w:szCs w:val="28"/>
                    <w:lang w:val="uk-UA" w:eastAsia="en-US"/>
                  </w:rPr>
                </m:ctrlPr>
              </m:sub>
            </m:sSub>
            <m:ctrlPr>
              <w:rPr>
                <w:rFonts w:ascii="Cambria Math" w:hAnsi="Cambria Math" w:eastAsia="Calibri"/>
                <w:i/>
                <w:sz w:val="28"/>
                <w:szCs w:val="28"/>
                <w:lang w:val="uk-UA" w:eastAsia="en-US"/>
              </w:rPr>
            </m:ctrlPr>
          </m:num>
          <m:den>
            <m:r>
              <m:rPr/>
              <w:rPr>
                <w:rFonts w:ascii="Cambria Math" w:hAnsi="Cambria Math" w:eastAsia="Calibri"/>
                <w:sz w:val="28"/>
                <w:szCs w:val="28"/>
                <w:lang w:val="en-US" w:eastAsia="en-US"/>
              </w:rPr>
              <m:t>R</m:t>
            </m:r>
            <m:r>
              <m:rPr/>
              <w:rPr>
                <w:rFonts w:ascii="Cambria Math" w:hAnsi="Cambria Math" w:eastAsia="Calibri"/>
                <w:sz w:val="28"/>
                <w:szCs w:val="28"/>
                <w:lang w:val="uk-UA" w:eastAsia="en-US"/>
              </w:rPr>
              <m:t>×</m:t>
            </m:r>
            <m:r>
              <m:rPr/>
              <w:rPr>
                <w:rFonts w:ascii="Cambria Math" w:hAnsi="Cambria Math" w:eastAsia="Calibri"/>
                <w:sz w:val="28"/>
                <w:szCs w:val="28"/>
                <w:lang w:val="en-US" w:eastAsia="en-US"/>
              </w:rPr>
              <m:t>N</m:t>
            </m:r>
            <m:r>
              <m:rPr/>
              <w:rPr>
                <w:rFonts w:ascii="Cambria Math" w:hAnsi="Cambria Math" w:eastAsia="Calibri"/>
                <w:sz w:val="28"/>
                <w:szCs w:val="28"/>
                <w:lang w:val="uk-UA" w:eastAsia="en-US"/>
              </w:rPr>
              <m:t>−100×</m:t>
            </m:r>
            <m:r>
              <m:rPr/>
              <w:rPr>
                <w:rFonts w:ascii="Cambria Math" w:hAnsi="Cambria Math" w:eastAsia="Calibri"/>
                <w:sz w:val="28"/>
                <w:szCs w:val="28"/>
                <w:lang w:val="en-US" w:eastAsia="en-US"/>
              </w:rPr>
              <m:t>k</m:t>
            </m:r>
            <m:r>
              <m:rPr/>
              <w:rPr>
                <w:rFonts w:ascii="Cambria Math" w:hAnsi="Cambria Math" w:eastAsia="Calibri"/>
                <w:sz w:val="28"/>
                <w:szCs w:val="28"/>
                <w:lang w:val="uk-UA" w:eastAsia="en-US"/>
              </w:rPr>
              <m:t>×</m:t>
            </m:r>
            <m:r>
              <m:rPr/>
              <w:rPr>
                <w:rFonts w:ascii="Cambria Math" w:hAnsi="Cambria Math" w:eastAsia="Calibri"/>
                <w:sz w:val="28"/>
                <w:szCs w:val="28"/>
                <w:lang w:val="en-US" w:eastAsia="en-US"/>
              </w:rPr>
              <m:t>R</m:t>
            </m:r>
            <m:r>
              <m:rPr/>
              <w:rPr>
                <w:rFonts w:ascii="Cambria Math" w:hAnsi="Cambria Math" w:eastAsia="Calibri"/>
                <w:sz w:val="28"/>
                <w:szCs w:val="28"/>
                <w:lang w:val="uk-UA" w:eastAsia="en-US"/>
              </w:rPr>
              <m:t>−100×</m:t>
            </m:r>
            <m:sSub>
              <m:sSubPr>
                <m:ctrlPr>
                  <w:rPr>
                    <w:rFonts w:ascii="Cambria Math" w:hAnsi="Cambria Math" w:eastAsia="Calibri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m:rPr/>
                  <w:rPr>
                    <w:rFonts w:ascii="Cambria Math" w:hAnsi="Cambria Math" w:eastAsia="Calibri"/>
                    <w:sz w:val="28"/>
                    <w:szCs w:val="28"/>
                    <w:lang w:val="uk-UA" w:eastAsia="en-US"/>
                  </w:rPr>
                  <m:t>В</m:t>
                </m:r>
                <m:ctrlPr>
                  <w:rPr>
                    <w:rFonts w:ascii="Cambria Math" w:hAnsi="Cambria Math" w:eastAsia="Calibri"/>
                    <w:i/>
                    <w:sz w:val="28"/>
                    <w:szCs w:val="28"/>
                    <w:lang w:val="en-US" w:eastAsia="en-US"/>
                  </w:rPr>
                </m:ctrlPr>
              </m:e>
              <m:sub>
                <m:r>
                  <m:rPr/>
                  <w:rPr>
                    <w:rFonts w:ascii="Cambria Math" w:hAnsi="Cambria Math" w:eastAsia="Calibri"/>
                    <w:sz w:val="28"/>
                    <w:szCs w:val="28"/>
                    <w:lang w:val="uk-UA" w:eastAsia="en-US"/>
                  </w:rPr>
                  <m:t>вп.пит</m:t>
                </m:r>
                <m:ctrlPr>
                  <w:rPr>
                    <w:rFonts w:ascii="Cambria Math" w:hAnsi="Cambria Math" w:eastAsia="Calibri"/>
                    <w:i/>
                    <w:sz w:val="28"/>
                    <w:szCs w:val="28"/>
                    <w:lang w:val="en-US" w:eastAsia="en-US"/>
                  </w:rPr>
                </m:ctrlPr>
              </m:sub>
            </m:sSub>
            <m:ctrlPr>
              <w:rPr>
                <w:rFonts w:ascii="Cambria Math" w:hAnsi="Cambria Math" w:eastAsia="Calibri"/>
                <w:i/>
                <w:sz w:val="28"/>
                <w:szCs w:val="28"/>
                <w:lang w:val="uk-UA" w:eastAsia="en-US"/>
              </w:rPr>
            </m:ctrlPr>
          </m:den>
        </m:f>
        <m:r>
          <m:rPr/>
          <w:rPr>
            <w:rFonts w:ascii="Cambria Math" w:hAnsi="Cambria Math" w:eastAsia="Calibri"/>
            <w:sz w:val="28"/>
            <w:szCs w:val="28"/>
            <w:lang w:val="uk-UA" w:eastAsia="en-US"/>
          </w:rPr>
          <m:t xml:space="preserve"> </m:t>
        </m:r>
      </m:oMath>
      <w:r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rFonts w:eastAsia="Calibri"/>
          <w:color w:val="000000"/>
          <w:sz w:val="28"/>
          <w:szCs w:val="28"/>
          <w:lang w:val="uk-UA" w:eastAsia="en-US"/>
        </w:rPr>
        <w:tab/>
      </w:r>
      <w:r>
        <w:rPr>
          <w:rFonts w:eastAsia="Calibri"/>
          <w:color w:val="000000"/>
          <w:sz w:val="28"/>
          <w:szCs w:val="28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>(17)</w:t>
      </w:r>
    </w:p>
    <w:p>
      <w:pPr>
        <w:widowControl/>
        <w:autoSpaceDE w:val="0"/>
        <w:autoSpaceDN w:val="0"/>
        <w:spacing w:line="240" w:lineRule="auto"/>
        <w:ind w:firstLine="284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</w:p>
    <w:p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На підставі значень </w:t>
      </w:r>
      <w:r>
        <w:rPr>
          <w:rFonts w:eastAsia="Calibri"/>
          <w:i/>
          <w:iCs/>
          <w:sz w:val="24"/>
          <w:szCs w:val="24"/>
          <w:lang w:val="uk-UA" w:eastAsia="en-US"/>
        </w:rPr>
        <w:t xml:space="preserve">T </w:t>
      </w:r>
      <w:r>
        <w:rPr>
          <w:rFonts w:eastAsia="Calibri"/>
          <w:sz w:val="24"/>
          <w:szCs w:val="24"/>
          <w:lang w:val="uk-UA" w:eastAsia="en-US"/>
        </w:rPr>
        <w:t xml:space="preserve">і  </w:t>
      </w:r>
      <w:r>
        <w:rPr>
          <w:rFonts w:eastAsia="Calibri"/>
          <w:i/>
          <w:iCs/>
          <w:sz w:val="24"/>
          <w:szCs w:val="24"/>
          <w:lang w:val="uk-UA" w:eastAsia="en-US"/>
        </w:rPr>
        <w:t>T</w:t>
      </w:r>
      <w:r>
        <w:rPr>
          <w:rFonts w:eastAsia="Calibri"/>
          <w:sz w:val="24"/>
          <w:szCs w:val="24"/>
          <w:lang w:val="uk-UA" w:eastAsia="en-US"/>
        </w:rPr>
        <w:t>зб</w:t>
      </w:r>
      <w:r>
        <w:rPr>
          <w:rFonts w:eastAsia="Calibri"/>
          <w:i/>
          <w:iCs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 xml:space="preserve">зробити висновок про збитковість і прибутковість складу. </w:t>
      </w:r>
    </w:p>
    <w:p>
      <w:pPr>
        <w:ind w:firstLine="709"/>
      </w:pPr>
    </w:p>
    <w:p>
      <w:pPr>
        <w:autoSpaceDE w:val="0"/>
        <w:autoSpaceDN w:val="0"/>
        <w:spacing w:line="240" w:lineRule="auto"/>
        <w:ind w:firstLine="567"/>
        <w:textAlignment w:val="auto"/>
        <w:rPr>
          <w:rFonts w:hint="default" w:eastAsia="Calibri"/>
          <w:b/>
          <w:sz w:val="28"/>
          <w:szCs w:val="28"/>
          <w:highlight w:val="yellow"/>
          <w:lang w:val="ru-RU" w:eastAsia="en-US"/>
        </w:rPr>
      </w:pPr>
      <w:r>
        <w:rPr>
          <w:rFonts w:eastAsia="Calibri"/>
          <w:b/>
          <w:sz w:val="28"/>
          <w:szCs w:val="28"/>
          <w:highlight w:val="yellow"/>
          <w:lang w:val="uk-UA" w:eastAsia="en-US"/>
        </w:rPr>
        <w:t>Задача №</w:t>
      </w:r>
      <w:r>
        <w:rPr>
          <w:rFonts w:hint="default" w:eastAsia="Calibri"/>
          <w:b/>
          <w:sz w:val="28"/>
          <w:szCs w:val="28"/>
          <w:highlight w:val="yellow"/>
          <w:lang w:val="uk-UA" w:eastAsia="en-US"/>
        </w:rPr>
        <w:t>2</w:t>
      </w:r>
      <w:r>
        <w:rPr>
          <w:rFonts w:hint="default" w:eastAsia="Calibri"/>
          <w:b/>
          <w:sz w:val="28"/>
          <w:szCs w:val="28"/>
          <w:highlight w:val="yellow"/>
          <w:lang w:val="ru-RU" w:eastAsia="en-US"/>
        </w:rPr>
        <w:t xml:space="preserve"> (самост</w:t>
      </w:r>
      <w:r>
        <w:rPr>
          <w:rFonts w:hint="default" w:eastAsia="Calibri"/>
          <w:b/>
          <w:sz w:val="28"/>
          <w:szCs w:val="28"/>
          <w:highlight w:val="yellow"/>
          <w:lang w:val="uk-UA" w:eastAsia="en-US"/>
        </w:rPr>
        <w:t>і</w:t>
      </w:r>
      <w:r>
        <w:rPr>
          <w:rFonts w:hint="default" w:eastAsia="Calibri"/>
          <w:b/>
          <w:sz w:val="28"/>
          <w:szCs w:val="28"/>
          <w:highlight w:val="yellow"/>
          <w:lang w:val="ru-RU" w:eastAsia="en-US"/>
        </w:rPr>
        <w:t>йно)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bCs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</w:t>
      </w:r>
      <w:r>
        <w:rPr>
          <w:rFonts w:eastAsia="Calibri"/>
          <w:bCs/>
          <w:sz w:val="28"/>
          <w:szCs w:val="28"/>
          <w:lang w:val="uk-UA" w:eastAsia="en-US"/>
        </w:rPr>
        <w:t xml:space="preserve">озрахунок точки беззбитковості діяльності складу. 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Дані про роботу складу наведено в табл. 27. Для свого варіанта вихідних даних визначити точку беззбитковості діяльності складу.</w:t>
      </w:r>
    </w:p>
    <w:p>
      <w:pPr>
        <w:widowControl/>
        <w:autoSpaceDE w:val="0"/>
        <w:autoSpaceDN w:val="0"/>
        <w:spacing w:line="240" w:lineRule="auto"/>
        <w:jc w:val="right"/>
        <w:textAlignment w:val="auto"/>
        <w:rPr>
          <w:rFonts w:hint="default"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Таблиця 27</w:t>
      </w:r>
      <w:r>
        <w:rPr>
          <w:rFonts w:hint="default" w:eastAsia="Calibri"/>
          <w:sz w:val="28"/>
          <w:szCs w:val="28"/>
          <w:lang w:val="uk-UA" w:eastAsia="en-US"/>
        </w:rPr>
        <w:t>.</w:t>
      </w:r>
    </w:p>
    <w:p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Економічні показники роботи складу</w:t>
      </w:r>
    </w:p>
    <w:tbl>
      <w:tblPr>
        <w:tblStyle w:val="5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5"/>
        <w:gridCol w:w="1800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9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Показник</w:t>
            </w:r>
          </w:p>
        </w:tc>
        <w:tc>
          <w:tcPr>
            <w:tcW w:w="180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Одиниця виміру</w:t>
            </w:r>
          </w:p>
        </w:tc>
        <w:tc>
          <w:tcPr>
            <w:tcW w:w="249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Значення показника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5" w:type="dxa"/>
          </w:tcPr>
          <w:p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Середня вартість закупівлі товарів, </w:t>
            </w:r>
            <w:r>
              <w:rPr>
                <w:b/>
                <w:bCs/>
                <w:i w:val="0"/>
                <w:iCs w:val="0"/>
                <w:sz w:val="22"/>
                <w:szCs w:val="22"/>
                <w:lang w:val="uk-UA" w:eastAsia="en-US"/>
              </w:rPr>
              <w:t>R</w:t>
            </w:r>
          </w:p>
        </w:tc>
        <w:tc>
          <w:tcPr>
            <w:tcW w:w="180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i/>
                <w:iCs/>
                <w:sz w:val="22"/>
                <w:szCs w:val="22"/>
                <w:lang w:val="uk-UA" w:eastAsia="en-US"/>
              </w:rPr>
              <w:t xml:space="preserve">R </w:t>
            </w:r>
            <w:r>
              <w:rPr>
                <w:sz w:val="22"/>
                <w:szCs w:val="22"/>
                <w:lang w:val="uk-UA" w:eastAsia="en-US"/>
              </w:rPr>
              <w:t>у.о./т</w:t>
            </w:r>
          </w:p>
        </w:tc>
        <w:tc>
          <w:tcPr>
            <w:tcW w:w="249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6000 +100×</w:t>
            </w:r>
            <w:r>
              <w:rPr>
                <w:sz w:val="22"/>
                <w:szCs w:val="22"/>
                <w:lang w:val="en-US" w:eastAsia="en-US"/>
              </w:rPr>
              <w:t>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5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Коефіцієнт для розрахунку оплати відсотків за кредит,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/>
                <w:bCs/>
                <w:i w:val="0"/>
                <w:iCs w:val="0"/>
                <w:sz w:val="22"/>
                <w:szCs w:val="22"/>
                <w:lang w:val="uk-UA" w:eastAsia="en-US"/>
              </w:rPr>
              <w:t>k</w:t>
            </w:r>
          </w:p>
        </w:tc>
        <w:tc>
          <w:tcPr>
            <w:tcW w:w="180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- </w:t>
            </w:r>
          </w:p>
        </w:tc>
        <w:tc>
          <w:tcPr>
            <w:tcW w:w="249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0,045+0,001×</w:t>
            </w:r>
            <w:r>
              <w:rPr>
                <w:sz w:val="22"/>
                <w:szCs w:val="22"/>
                <w:lang w:val="en-US" w:eastAsia="en-US"/>
              </w:rPr>
              <w:t>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5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Торговельна надбавка при оптовому продажі товарів, </w:t>
            </w:r>
            <w:r>
              <w:rPr>
                <w:b/>
                <w:bCs/>
                <w:i w:val="0"/>
                <w:iCs w:val="0"/>
                <w:sz w:val="22"/>
                <w:szCs w:val="22"/>
                <w:lang w:val="uk-UA" w:eastAsia="en-US"/>
              </w:rPr>
              <w:t>N</w:t>
            </w:r>
          </w:p>
        </w:tc>
        <w:tc>
          <w:tcPr>
            <w:tcW w:w="180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%</w:t>
            </w:r>
          </w:p>
        </w:tc>
        <w:tc>
          <w:tcPr>
            <w:tcW w:w="249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7,8+0,2×</w:t>
            </w:r>
            <w:r>
              <w:rPr>
                <w:sz w:val="22"/>
                <w:szCs w:val="22"/>
                <w:lang w:val="en-US" w:eastAsia="en-US"/>
              </w:rPr>
              <w:t>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5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Витрати на оренду складського приміщення, 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Вор </w:t>
            </w:r>
          </w:p>
        </w:tc>
        <w:tc>
          <w:tcPr>
            <w:tcW w:w="180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у.о./рік</w:t>
            </w:r>
          </w:p>
        </w:tc>
        <w:tc>
          <w:tcPr>
            <w:tcW w:w="249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170000+1000×</w:t>
            </w:r>
            <w:r>
              <w:rPr>
                <w:sz w:val="22"/>
                <w:szCs w:val="22"/>
                <w:lang w:val="en-US" w:eastAsia="en-US"/>
              </w:rPr>
              <w:t>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5" w:type="dxa"/>
          </w:tcPr>
          <w:p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Витрати на амортизацію техніки, 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Вам </w:t>
            </w:r>
          </w:p>
        </w:tc>
        <w:tc>
          <w:tcPr>
            <w:tcW w:w="180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у.о./рік</w:t>
            </w:r>
          </w:p>
        </w:tc>
        <w:tc>
          <w:tcPr>
            <w:tcW w:w="249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30000+500×</w:t>
            </w:r>
            <w:r>
              <w:rPr>
                <w:sz w:val="22"/>
                <w:szCs w:val="22"/>
                <w:lang w:val="en-US" w:eastAsia="en-US"/>
              </w:rPr>
              <w:t>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5" w:type="dxa"/>
          </w:tcPr>
          <w:p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Витрати на оплату електроенергії, 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Вел</w:t>
            </w:r>
          </w:p>
        </w:tc>
        <w:tc>
          <w:tcPr>
            <w:tcW w:w="180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у.о./рік</w:t>
            </w:r>
          </w:p>
        </w:tc>
        <w:tc>
          <w:tcPr>
            <w:tcW w:w="249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80000+500×</w:t>
            </w:r>
            <w:r>
              <w:rPr>
                <w:sz w:val="22"/>
                <w:szCs w:val="22"/>
                <w:lang w:val="en-US" w:eastAsia="en-US"/>
              </w:rPr>
              <w:t>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5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Витрати на оплату керівного персоналу і фахівців, 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Взп</w:t>
            </w:r>
          </w:p>
        </w:tc>
        <w:tc>
          <w:tcPr>
            <w:tcW w:w="180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у.о./рік</w:t>
            </w:r>
          </w:p>
        </w:tc>
        <w:tc>
          <w:tcPr>
            <w:tcW w:w="249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20000+200×</w:t>
            </w:r>
            <w:r>
              <w:rPr>
                <w:sz w:val="22"/>
                <w:szCs w:val="22"/>
                <w:lang w:val="en-US" w:eastAsia="en-US"/>
              </w:rPr>
              <w:t>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5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Вартість вантажопереробки, що приходиться на 1 т вантажообігу складу, 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Ввп.пит</w:t>
            </w:r>
          </w:p>
        </w:tc>
        <w:tc>
          <w:tcPr>
            <w:tcW w:w="180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у.о./т</w:t>
            </w:r>
          </w:p>
        </w:tc>
        <w:tc>
          <w:tcPr>
            <w:tcW w:w="249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14+0,2×</w:t>
            </w:r>
            <w:r>
              <w:rPr>
                <w:sz w:val="22"/>
                <w:szCs w:val="22"/>
                <w:lang w:val="en-US" w:eastAsia="en-US"/>
              </w:rPr>
              <w:t>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5" w:type="dxa"/>
          </w:tcPr>
          <w:p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Існуючий вантажообіг складу, </w:t>
            </w:r>
            <w:r>
              <w:rPr>
                <w:b/>
                <w:bCs/>
                <w:i w:val="0"/>
                <w:iCs w:val="0"/>
                <w:sz w:val="22"/>
                <w:szCs w:val="22"/>
                <w:lang w:val="uk-UA" w:eastAsia="en-US"/>
              </w:rPr>
              <w:t>T</w:t>
            </w:r>
          </w:p>
        </w:tc>
        <w:tc>
          <w:tcPr>
            <w:tcW w:w="180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т/рік</w:t>
            </w:r>
          </w:p>
        </w:tc>
        <w:tc>
          <w:tcPr>
            <w:tcW w:w="249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1600+50×</w:t>
            </w:r>
            <w:r>
              <w:rPr>
                <w:sz w:val="22"/>
                <w:szCs w:val="22"/>
                <w:lang w:val="en-US" w:eastAsia="en-US"/>
              </w:rPr>
              <w:t>k</w:t>
            </w:r>
          </w:p>
        </w:tc>
      </w:tr>
    </w:tbl>
    <w:p>
      <w:pPr>
        <w:widowControl/>
        <w:autoSpaceDE w:val="0"/>
        <w:autoSpaceDN w:val="0"/>
        <w:spacing w:line="240" w:lineRule="auto"/>
        <w:ind w:firstLine="284"/>
        <w:jc w:val="left"/>
        <w:textAlignment w:val="auto"/>
        <w:rPr>
          <w:rFonts w:eastAsia="Calibri"/>
          <w:bCs/>
          <w:sz w:val="24"/>
          <w:szCs w:val="24"/>
          <w:lang w:val="en-US" w:eastAsia="en-US"/>
        </w:rPr>
      </w:pPr>
    </w:p>
    <w:p>
      <w:pPr>
        <w:widowControl/>
        <w:autoSpaceDE w:val="0"/>
        <w:autoSpaceDN w:val="0"/>
        <w:spacing w:line="240" w:lineRule="auto"/>
        <w:ind w:firstLine="284"/>
        <w:jc w:val="left"/>
        <w:textAlignment w:val="auto"/>
        <w:rPr>
          <w:rFonts w:hint="default" w:eastAsia="Calibri"/>
          <w:b/>
          <w:bCs w:val="0"/>
          <w:sz w:val="24"/>
          <w:szCs w:val="24"/>
          <w:lang w:val="uk-UA" w:eastAsia="en-US"/>
        </w:rPr>
      </w:pPr>
      <w:r>
        <w:rPr>
          <w:rFonts w:eastAsia="Calibri"/>
          <w:b/>
          <w:bCs w:val="0"/>
          <w:sz w:val="24"/>
          <w:szCs w:val="24"/>
          <w:lang w:val="en-US" w:eastAsia="en-US"/>
        </w:rPr>
        <w:t>k</w:t>
      </w:r>
      <w:r>
        <w:rPr>
          <w:rFonts w:eastAsia="Calibri"/>
          <w:b/>
          <w:bCs w:val="0"/>
          <w:sz w:val="24"/>
          <w:szCs w:val="24"/>
          <w:lang w:val="uk-UA" w:eastAsia="en-US"/>
        </w:rPr>
        <w:t xml:space="preserve"> </w:t>
      </w:r>
      <w:r>
        <w:rPr>
          <w:rFonts w:eastAsia="Calibri"/>
          <w:b/>
          <w:bCs w:val="0"/>
          <w:sz w:val="24"/>
          <w:szCs w:val="24"/>
          <w:lang w:val="en-US" w:eastAsia="en-US"/>
        </w:rPr>
        <w:t xml:space="preserve">- </w:t>
      </w:r>
      <w:r>
        <w:rPr>
          <w:rFonts w:eastAsia="Calibri"/>
          <w:b/>
          <w:bCs w:val="0"/>
          <w:sz w:val="24"/>
          <w:szCs w:val="24"/>
          <w:lang w:val="uk-UA" w:eastAsia="en-US"/>
        </w:rPr>
        <w:t>порядковий номер у списку групи</w:t>
      </w:r>
      <w:r>
        <w:rPr>
          <w:rFonts w:hint="default" w:eastAsia="Calibri"/>
          <w:b/>
          <w:bCs w:val="0"/>
          <w:sz w:val="24"/>
          <w:szCs w:val="24"/>
          <w:lang w:val="uk-UA" w:eastAsia="en-US"/>
        </w:rPr>
        <w:t xml:space="preserve"> (або варіанти 1,2,3,4,5)</w:t>
      </w:r>
    </w:p>
    <w:p>
      <w:pPr>
        <w:ind w:firstLine="709"/>
      </w:pPr>
    </w:p>
    <w:sectPr>
      <w:pgSz w:w="11906" w:h="16838"/>
      <w:pgMar w:top="1134" w:right="851" w:bottom="1134" w:left="1134" w:header="709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imes New Roman,Italic">
    <w:altName w:val="Yu Gothic UI"/>
    <w:panose1 w:val="00000000000000000000"/>
    <w:charset w:val="80"/>
    <w:family w:val="auto"/>
    <w:pitch w:val="default"/>
    <w:sig w:usb0="00000000" w:usb1="00000000" w:usb2="00000010" w:usb3="00000000" w:csb0="00020004" w:csb1="0000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900DF4"/>
    <w:multiLevelType w:val="singleLevel"/>
    <w:tmpl w:val="51900DF4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CF"/>
    <w:rsid w:val="000F7B1C"/>
    <w:rsid w:val="001211CF"/>
    <w:rsid w:val="00222833"/>
    <w:rsid w:val="006C0B77"/>
    <w:rsid w:val="008242FF"/>
    <w:rsid w:val="00870751"/>
    <w:rsid w:val="00922C48"/>
    <w:rsid w:val="009A6C0A"/>
    <w:rsid w:val="00B915B7"/>
    <w:rsid w:val="00DB2F8C"/>
    <w:rsid w:val="00EA59DF"/>
    <w:rsid w:val="00EE4070"/>
    <w:rsid w:val="00EF5CD7"/>
    <w:rsid w:val="00F12C76"/>
    <w:rsid w:val="00F96756"/>
    <w:rsid w:val="1C24570A"/>
    <w:rsid w:val="2AE906F9"/>
    <w:rsid w:val="445403BA"/>
    <w:rsid w:val="4FB1204A"/>
    <w:rsid w:val="61D00C16"/>
    <w:rsid w:val="7674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Сітка таблиці3"/>
    <w:basedOn w:val="3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977</Words>
  <Characters>5570</Characters>
  <Lines>46</Lines>
  <Paragraphs>13</Paragraphs>
  <TotalTime>2</TotalTime>
  <ScaleCrop>false</ScaleCrop>
  <LinksUpToDate>false</LinksUpToDate>
  <CharactersWithSpaces>6534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2022-11-14T08:58:00Z</dcterms:created>
  <dc:creator>Lenovo</dc:creator>
  <cp:lastModifiedBy>User</cp:lastModifiedBy>
  <cp:lastPrinted>2023-11-07T22:40:00Z</cp:lastPrinted>
  <dcterms:modified xsi:type="dcterms:W3CDTF">2023-11-13T22:26:30Z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8BB5F652C2EE46EA83E1611DF07A76D4_13</vt:lpwstr>
  </property>
</Properties>
</file>