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МОДУЛЬНА КОНТРОЛЬНА РОБОТА 1 «МЕНЕДЖМЕНТ ІНВЕСТИЦІЙНОЇ ДІЯЛЬНОСТІ»</w:t>
      </w:r>
    </w:p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tbl>
      <w:tblPr>
        <w:tblW w:w="10815" w:type="dxa"/>
        <w:tblInd w:w="65" w:type="dxa"/>
        <w:tblLook w:val="00A0" w:firstRow="1" w:lastRow="0" w:firstColumn="1" w:lastColumn="0" w:noHBand="0" w:noVBand="0"/>
      </w:tblPr>
      <w:tblGrid>
        <w:gridCol w:w="706"/>
        <w:gridCol w:w="2804"/>
        <w:gridCol w:w="7305"/>
      </w:tblGrid>
      <w:tr w:rsidR="00535DB2" w:rsidRPr="004D66BC" w:rsidTr="002B37D9">
        <w:tc>
          <w:tcPr>
            <w:tcW w:w="10815" w:type="dxa"/>
            <w:gridSpan w:val="3"/>
          </w:tcPr>
          <w:p w:rsidR="00535DB2" w:rsidRPr="004D66BC" w:rsidRDefault="004721A4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  <w:p w:rsidR="00535DB2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 кінці файлу є таблиця, в яку необхідно </w:t>
            </w:r>
            <w:proofErr w:type="spellStart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внести</w:t>
            </w:r>
            <w:proofErr w:type="spellEnd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відповіді.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ОБОВЯЗКОВО вказати свою групу та ПІБ</w:t>
            </w:r>
            <w:bookmarkStart w:id="0" w:name="_GoBack"/>
            <w:bookmarkEnd w:id="0"/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Виконану МКР надіслати на пошту </w:t>
            </w:r>
            <w:hyperlink r:id="rId7" w:history="1"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irina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221110@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ukr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r w:rsidR="008E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267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7F49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5E3507">
              <w:rPr>
                <w:rFonts w:ascii="Times New Roman" w:hAnsi="Times New Roman"/>
                <w:b/>
                <w:sz w:val="24"/>
                <w:szCs w:val="24"/>
              </w:rPr>
              <w:t>.2023_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Батор_</w:t>
            </w:r>
            <w:r w:rsidR="008E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МО-6</w:t>
            </w:r>
            <w:r w:rsidR="001267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_МКР1</w:t>
            </w:r>
          </w:p>
          <w:p w:rsidR="00D4625D" w:rsidRPr="00CA3C27" w:rsidRDefault="00D4625D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ОЦІНЮВАННЯ: 1 правильна відповідь = 1 бал. Максимальна кількість балів – 5</w:t>
            </w:r>
            <w:r w:rsidR="00DE0A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балів.</w:t>
            </w:r>
          </w:p>
          <w:p w:rsidR="00CA3C27" w:rsidRPr="004D66BC" w:rsidRDefault="00CA3C27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305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5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30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305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30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34"/>
            <w:bookmarkEnd w:id="1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2" w:name="n35"/>
            <w:bookmarkEnd w:id="2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6"/>
            <w:bookmarkEnd w:id="3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37"/>
            <w:bookmarkEnd w:id="4"/>
            <w:r w:rsidRPr="004D66BC">
              <w:t xml:space="preserve">Г. </w:t>
            </w:r>
            <w:bookmarkStart w:id="5" w:name="n38"/>
            <w:bookmarkEnd w:id="5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 xml:space="preserve">Цінний папір, що посвідчує внесення його </w:t>
            </w:r>
            <w:r w:rsidRPr="004D66BC">
              <w:lastRenderedPageBreak/>
              <w:t>першим власником 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305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фінансових ризиків і 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діяльності та оформлюються у вигляді планово-розрахункових документів, необхідних та достатніх для обґрунтування, організації та управління роботами з реалізації проекту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цінні папери, випуск яких забезпечений іпотечним покриттям (іпотечним пулом) і які посвідчують право власників на отримання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Вкладення коштів в цінні папери, цільові банківські вклади, депозити, придбання паїв передбачають: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коштів у матеріальні активи (будівлі, споруди, техніку та матеріальні цінності), а також в нематеріальні активи (патенти, 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Цілеспрямовано здійснюваний процес формування необхідних інвестиційних ресурсів,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вкладення капіталу підприємства, що опосередковується іншими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Іменний цінний папір, що посвідчує майнові права його власника (акціонера), які стосуються акціонерного товариства,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ліквідації, право на управління акціонерним товариством, а також немайнові права, передбачені Цивільним кодексом України та законом, що регулює питання створення, діяльності та припинення акціонерних товариств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форвард.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4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Ризик інвестиційного проекту – це:</w:t>
            </w:r>
          </w:p>
        </w:tc>
        <w:tc>
          <w:tcPr>
            <w:tcW w:w="7305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імовірність того, що проект буде реалізований;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очікуване значення чистого дисконтованого доходу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невизначеність в отриманні планованого рівня прибутковості при реалізації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очікуваний рівень прибутковості інвестиційного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4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видами збитку інвестиційні ризики можна розподілити на: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ризики прямих фінансових утрат;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ризики зниження прибутковості;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ризики упущеної вигоди;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варіанти відповіді А та Б;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варіанти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18640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04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етапами здійснення інвестиційного проекту ризики класифікуються на:</w:t>
            </w:r>
          </w:p>
        </w:tc>
        <w:tc>
          <w:tcPr>
            <w:tcW w:w="7305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довгострокові та короткострокові;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ризики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передексплуатаційної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стадії та стадії експлуатації;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постійні та тимчасові;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прогнозовані та непрогнозовані;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EC2DBB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4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Оцінка ризику – це:</w:t>
            </w:r>
          </w:p>
        </w:tc>
        <w:tc>
          <w:tcPr>
            <w:tcW w:w="7305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визначення можливого виду ризику і контроль впливу факторів на рівень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визначення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комплекс заходів щодо мінімізації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визначення кількісних характеристик величини або ступеню ризику, що існує на підприємстві;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AB5E0C" w:rsidRPr="004D66BC" w:rsidRDefault="00AB5E0C"/>
    <w:p w:rsidR="00AB5E0C" w:rsidRPr="004D66BC" w:rsidRDefault="00AB5E0C">
      <w:r w:rsidRPr="004D66BC">
        <w:br w:type="page"/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lastRenderedPageBreak/>
        <w:t>МОДУЛЬНА КОНТРОЛЬНА РОБОТА 1 «МЕНЕДЖМЕНТ ІНВЕСТИЦІЙНОЇ ДІЯЛЬНОСТІ»</w:t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pStyle w:val="a6"/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 xml:space="preserve">31. 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602E58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602E58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267A6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12AF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4E1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2625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1FFE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507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77B4F"/>
    <w:rsid w:val="0078548C"/>
    <w:rsid w:val="007A2F15"/>
    <w:rsid w:val="007B1948"/>
    <w:rsid w:val="007B2ECE"/>
    <w:rsid w:val="007C2E04"/>
    <w:rsid w:val="007D33B1"/>
    <w:rsid w:val="007F493D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0FF3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401B2"/>
    <w:rsid w:val="00E4359F"/>
    <w:rsid w:val="00E50362"/>
    <w:rsid w:val="00E57143"/>
    <w:rsid w:val="00E61A75"/>
    <w:rsid w:val="00E620C2"/>
    <w:rsid w:val="00E70C53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5A0E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6597-AC75-4F50-9DC2-E1AFA5B4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17154</Words>
  <Characters>9779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2019-09-30T10:20:00Z</cp:lastPrinted>
  <dcterms:created xsi:type="dcterms:W3CDTF">2023-11-13T12:14:00Z</dcterms:created>
  <dcterms:modified xsi:type="dcterms:W3CDTF">2023-11-13T12:15:00Z</dcterms:modified>
</cp:coreProperties>
</file>