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87" w:rsidRDefault="00A41687" w:rsidP="00A416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F7FF4">
        <w:rPr>
          <w:rFonts w:ascii="Times New Roman" w:hAnsi="Times New Roman" w:cs="Times New Roman"/>
          <w:b/>
          <w:bCs/>
          <w:i/>
          <w:sz w:val="28"/>
          <w:szCs w:val="28"/>
        </w:rPr>
        <w:t>ФІНАНСОВЕ ВИРІВНЮВАННЯ І БЮДЖЕТНЕ РЕГУЛЮВАННЯ</w:t>
      </w:r>
    </w:p>
    <w:p w:rsidR="00A41687" w:rsidRDefault="00A41687" w:rsidP="00A416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практичне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заняття</w:t>
      </w:r>
      <w:proofErr w:type="spellEnd"/>
      <w:r w:rsidRPr="00A4168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5</w:t>
      </w:r>
      <w:r w:rsidR="008E2989"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жовтня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2023</w:t>
      </w:r>
      <w:r w:rsidR="008E2989"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року </w:t>
      </w:r>
    </w:p>
    <w:p w:rsidR="008E2989" w:rsidRPr="00A3557B" w:rsidRDefault="008E2989" w:rsidP="00A41687">
      <w:pPr>
        <w:spacing w:after="0" w:line="240" w:lineRule="auto"/>
        <w:ind w:firstLine="567"/>
        <w:jc w:val="center"/>
        <w:rPr>
          <w:rStyle w:val="fontstyle01"/>
          <w:rFonts w:ascii="Times New Roman" w:hAnsi="Times New Roman" w:cs="Times New Roman"/>
          <w:sz w:val="28"/>
          <w:szCs w:val="28"/>
          <w:lang w:val="ru-RU"/>
        </w:rPr>
      </w:pPr>
      <w:r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>(</w:t>
      </w:r>
      <w:proofErr w:type="spellStart"/>
      <w:r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>виконати</w:t>
      </w:r>
      <w:proofErr w:type="spellEnd"/>
      <w:r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до </w:t>
      </w:r>
      <w:r w:rsidR="00A41687">
        <w:rPr>
          <w:rFonts w:ascii="Times New Roman" w:hAnsi="Times New Roman" w:cs="Times New Roman"/>
          <w:b/>
          <w:i/>
          <w:sz w:val="28"/>
          <w:szCs w:val="28"/>
          <w:lang w:val="ru-RU"/>
        </w:rPr>
        <w:t>19</w:t>
      </w:r>
      <w:r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A41687">
        <w:rPr>
          <w:rFonts w:ascii="Times New Roman" w:hAnsi="Times New Roman" w:cs="Times New Roman"/>
          <w:b/>
          <w:i/>
          <w:sz w:val="28"/>
          <w:szCs w:val="28"/>
          <w:lang w:val="ru-RU"/>
        </w:rPr>
        <w:t>жовтня</w:t>
      </w:r>
      <w:proofErr w:type="spellEnd"/>
      <w:r w:rsidRPr="00A3557B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A3557B" w:rsidRDefault="00A3557B" w:rsidP="00A41687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A3557B" w:rsidRPr="00A3557B" w:rsidRDefault="00A3557B" w:rsidP="00A41687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Заповнити таблицю (використовуючи Главу 16 БКУ)</w:t>
      </w:r>
    </w:p>
    <w:p w:rsidR="00A3557B" w:rsidRPr="00A3557B" w:rsidRDefault="00A3557B" w:rsidP="00A41687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A3557B">
        <w:rPr>
          <w:rStyle w:val="fontstyle01"/>
          <w:rFonts w:ascii="Times New Roman" w:hAnsi="Times New Roman" w:cs="Times New Roman"/>
          <w:b w:val="0"/>
          <w:i/>
          <w:color w:val="auto"/>
          <w:sz w:val="28"/>
          <w:szCs w:val="28"/>
        </w:rPr>
        <w:t>Властивості міжбюджетних трансфертів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A3557B" w:rsidRPr="00A3557B" w:rsidTr="00A3557B">
        <w:tc>
          <w:tcPr>
            <w:tcW w:w="3473" w:type="dxa"/>
          </w:tcPr>
          <w:p w:rsidR="00A3557B" w:rsidRPr="00A3557B" w:rsidRDefault="00A3557B" w:rsidP="00A41687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Види трансфе</w:t>
            </w:r>
            <w:r w:rsidRPr="00A3557B">
              <w:rPr>
                <w:rStyle w:val="fontstyle01"/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р</w:t>
            </w:r>
            <w:r>
              <w:rPr>
                <w:rStyle w:val="fontstyle01"/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т</w:t>
            </w:r>
            <w:r w:rsidRPr="00A3557B">
              <w:rPr>
                <w:rStyle w:val="fontstyle01"/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ів</w:t>
            </w:r>
          </w:p>
        </w:tc>
        <w:tc>
          <w:tcPr>
            <w:tcW w:w="3474" w:type="dxa"/>
          </w:tcPr>
          <w:p w:rsidR="00A3557B" w:rsidRPr="00A3557B" w:rsidRDefault="00A3557B" w:rsidP="00A41687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A3557B">
              <w:rPr>
                <w:rStyle w:val="fontstyle01"/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Цільове спрямування</w:t>
            </w:r>
          </w:p>
        </w:tc>
        <w:tc>
          <w:tcPr>
            <w:tcW w:w="3474" w:type="dxa"/>
          </w:tcPr>
          <w:p w:rsidR="00A3557B" w:rsidRPr="00A3557B" w:rsidRDefault="00A3557B" w:rsidP="00A41687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A3557B">
              <w:rPr>
                <w:rStyle w:val="fontstyle01"/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Джерело отримання</w:t>
            </w:r>
          </w:p>
        </w:tc>
      </w:tr>
      <w:tr w:rsidR="00A3557B" w:rsidRPr="00A3557B" w:rsidTr="00A3557B">
        <w:tc>
          <w:tcPr>
            <w:tcW w:w="3473" w:type="dxa"/>
          </w:tcPr>
          <w:p w:rsidR="00A3557B" w:rsidRPr="00A41687" w:rsidRDefault="00A41687" w:rsidP="00A41687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41687"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Базова дотація</w:t>
            </w:r>
          </w:p>
        </w:tc>
        <w:tc>
          <w:tcPr>
            <w:tcW w:w="3474" w:type="dxa"/>
          </w:tcPr>
          <w:p w:rsidR="00A3557B" w:rsidRPr="00A3557B" w:rsidRDefault="00A3557B" w:rsidP="00A41687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4" w:type="dxa"/>
          </w:tcPr>
          <w:p w:rsidR="00A3557B" w:rsidRPr="00A3557B" w:rsidRDefault="00A3557B" w:rsidP="00A41687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3557B" w:rsidRPr="00A3557B" w:rsidTr="00A3557B">
        <w:tc>
          <w:tcPr>
            <w:tcW w:w="3473" w:type="dxa"/>
          </w:tcPr>
          <w:p w:rsidR="00A3557B" w:rsidRPr="00A41687" w:rsidRDefault="00A41687" w:rsidP="00A41687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41687"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Субвенції</w:t>
            </w:r>
          </w:p>
        </w:tc>
        <w:tc>
          <w:tcPr>
            <w:tcW w:w="3474" w:type="dxa"/>
          </w:tcPr>
          <w:p w:rsidR="00A3557B" w:rsidRPr="00A3557B" w:rsidRDefault="00A3557B" w:rsidP="00A41687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4" w:type="dxa"/>
          </w:tcPr>
          <w:p w:rsidR="00A3557B" w:rsidRPr="00A3557B" w:rsidRDefault="00A3557B" w:rsidP="00A41687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3557B" w:rsidRPr="00A3557B" w:rsidTr="00A3557B">
        <w:tc>
          <w:tcPr>
            <w:tcW w:w="3473" w:type="dxa"/>
          </w:tcPr>
          <w:p w:rsidR="00A3557B" w:rsidRPr="00A41687" w:rsidRDefault="00A41687" w:rsidP="00A41687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41687"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Реверсна дотація</w:t>
            </w:r>
          </w:p>
        </w:tc>
        <w:tc>
          <w:tcPr>
            <w:tcW w:w="3474" w:type="dxa"/>
          </w:tcPr>
          <w:p w:rsidR="00A3557B" w:rsidRPr="00A3557B" w:rsidRDefault="00A3557B" w:rsidP="00A41687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4" w:type="dxa"/>
          </w:tcPr>
          <w:p w:rsidR="00A3557B" w:rsidRPr="00A3557B" w:rsidRDefault="00A3557B" w:rsidP="00A41687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3557B" w:rsidRPr="00A3557B" w:rsidTr="00A3557B">
        <w:tc>
          <w:tcPr>
            <w:tcW w:w="3473" w:type="dxa"/>
          </w:tcPr>
          <w:p w:rsidR="00A3557B" w:rsidRPr="00A41687" w:rsidRDefault="00A41687" w:rsidP="00A41687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41687">
              <w:rPr>
                <w:rStyle w:val="fontstyle0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Додаткові дотації</w:t>
            </w:r>
          </w:p>
        </w:tc>
        <w:tc>
          <w:tcPr>
            <w:tcW w:w="3474" w:type="dxa"/>
          </w:tcPr>
          <w:p w:rsidR="00A3557B" w:rsidRPr="00A3557B" w:rsidRDefault="00A3557B" w:rsidP="00A41687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4" w:type="dxa"/>
          </w:tcPr>
          <w:p w:rsidR="00A3557B" w:rsidRPr="00A3557B" w:rsidRDefault="00A3557B" w:rsidP="00A41687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A3557B" w:rsidRPr="00A3557B" w:rsidRDefault="00A3557B" w:rsidP="00A41687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A3557B" w:rsidRPr="00A3557B" w:rsidRDefault="00A3557B" w:rsidP="00A41687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Вирішити тестові завдання.</w:t>
      </w:r>
    </w:p>
    <w:p w:rsidR="008E2989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1. Яке з перелічених визначень розкриває зміст міжбюджетних відносин:</w:t>
      </w:r>
    </w:p>
    <w:p w:rsidR="008E298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сукупність трансфертів, що надаються місцевим бюджетам протягом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року;</w:t>
      </w:r>
    </w:p>
    <w:p w:rsidR="008E298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відносини між державою, АР Крим і місцевим самоврядуванням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щодо забезпечення відповідних бюджетів необхідними фінансовими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ресурсами;</w:t>
      </w:r>
    </w:p>
    <w:p w:rsidR="008E298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відносини між органами місцевого самоврядування, метою яких є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збалансування місцевих бюджетів;</w:t>
      </w:r>
    </w:p>
    <w:p w:rsidR="008E298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відносини між державою і місцевими органами влади щодо формування доходів відповідних бюджетів.</w:t>
      </w:r>
    </w:p>
    <w:p w:rsidR="008E2989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2. Які органи є суб’єктами міжбюджетних відносин:</w:t>
      </w: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8E298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органи місцевого самоврядування, до компетенції яких входять повно важення щодо складання, розгляду, затвердження і виконання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бюджетів;</w:t>
      </w:r>
    </w:p>
    <w:p w:rsidR="008E298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органи державної влади й управління, до компетенції яких входять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повноваження щодо складання, розгляду, затвердження і виконання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бюджетів;</w:t>
      </w:r>
    </w:p>
    <w:p w:rsidR="008E298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розпорядники бюджетних коштів другого і третього ступенів, а також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одержувачі бюджетних коштів;</w:t>
      </w:r>
    </w:p>
    <w:p w:rsidR="008E2989" w:rsidRPr="00A41687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громадські організації та політичні партії.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8E2989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3. Під бюджетним регулюванням слід розуміти надання коштів:</w:t>
      </w:r>
    </w:p>
    <w:p w:rsidR="008E298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з місцевих бюджетів державному бюджету з метою збалансування</w:t>
      </w:r>
    </w:p>
    <w:p w:rsidR="008E298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доходів і видатків державного бюджету;</w:t>
      </w:r>
    </w:p>
    <w:p w:rsidR="008E298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з місцевих бюджетів іншим місцевим бюджетам у формі субсидій;</w:t>
      </w:r>
    </w:p>
    <w:p w:rsidR="008E298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з державного бюджету місцевим бюджетам з метою збалансування</w:t>
      </w:r>
    </w:p>
    <w:p w:rsidR="008E298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доходів і видатків усіх бюджетів;</w:t>
      </w:r>
    </w:p>
    <w:p w:rsidR="008E298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з державного бюджету виключно бюджетам місцевого самоврядування</w:t>
      </w:r>
    </w:p>
    <w:p w:rsidR="008E298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з метою збалансування доходів і видатків вказаних бюджетів.</w:t>
      </w:r>
    </w:p>
    <w:p w:rsidR="008E2989" w:rsidRPr="00A41687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4. Які є методи бюджетного регулювання:</w:t>
      </w:r>
    </w:p>
    <w:p w:rsidR="008E2989" w:rsidRPr="00A41687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балансовий;</w:t>
      </w:r>
    </w:p>
    <w:p w:rsidR="008E2989" w:rsidRPr="00A41687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відсоткових відрахувань від загальнодержавних податків і доходів;</w:t>
      </w:r>
    </w:p>
    <w:p w:rsidR="008E2989" w:rsidRPr="00A41687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встановлення надбавок до загальнодержавних податків;</w:t>
      </w:r>
    </w:p>
    <w:p w:rsidR="008E298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надання фінансової допомоги бюджетам у формі позик.</w:t>
      </w:r>
    </w:p>
    <w:p w:rsidR="008E2989" w:rsidRPr="00A41687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5. Фінансове вирівнювання – це:</w:t>
      </w:r>
    </w:p>
    <w:p w:rsidR="008E2989" w:rsidRPr="00A41687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приведення у відповідність витрат бюджетів до гарантованого державою мінімального рівня соціальних послуг на душу населення;</w:t>
      </w:r>
    </w:p>
    <w:p w:rsidR="008E2989" w:rsidRPr="00A41687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lastRenderedPageBreak/>
        <w:t>б) перерозподіл фінансових ресурсів між бюджетами різних рівнів;</w:t>
      </w:r>
    </w:p>
    <w:p w:rsidR="008E2989" w:rsidRPr="00A41687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ліквідація значних диспропорцій у здійсненні видатків у розрізі</w:t>
      </w:r>
      <w:r w:rsidRPr="00A41687"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окремих територій;</w:t>
      </w:r>
    </w:p>
    <w:p w:rsidR="008E2989" w:rsidRPr="00A41687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спрямування коштів із «багатших» регіонів у «бідніші» з метою збалансування дохідної і видаткової частин місцевих бюджетів.</w:t>
      </w:r>
    </w:p>
    <w:p w:rsidR="008E2989" w:rsidRPr="00A41687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6. Формула розподілу обсягу міжбюджетних трансфертів між державним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бюджетом і місцевими бюджетами враховує: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показники затрат;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загальний обсяг ресурсів бюджету;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розрахунок прогнозного обсягу доходів місцевих бюджетів;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індекс відносної податкоспроможності адміністративно-територіальної одиниці.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7. Чинний порядок розрахунку дотацій вирівнювання місцевим бюджетам із Державного бюджету України спрямований: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на зміцнення самостійності місцевих бюджетів і посилення заінтересованості органів місцевого самоврядування у нарощуванні власної</w:t>
      </w:r>
      <w:r w:rsidR="007D5396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дохідної бази;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послаблення самостійності місцевих бюджетів;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заінтересованості фінансових органів у недовиконанні надходжень;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підтримку малого та середнього бізнесу.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8. Під індексом відносної платоспроможності слід розуміти відношення: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обсягу надходжень до місцевого бюджету до чисельності населення в</w:t>
      </w:r>
      <w:r w:rsidR="007D5396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адміністративній одиниці;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обсягу надходжень у місцевий бюджет до середнього обсягу надходжень у місцеві бюджети в Україні;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середньодушового кошика доходів місцевого самоврядування до середнього в Україні обсягу середньодушового кошика доходів;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середньодушового кошика доходів місцевого самоврядування до чисельності населення в адміністративній одиниці</w:t>
      </w:r>
      <w:r w:rsidR="007D5396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.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9. Під час розрахунку видатків на культуру і мистецтво враховуються: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а) кількість закладів культури і мистецтва в </w:t>
      </w:r>
      <w:r w:rsidR="007D5396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адміністративно-терито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ріальній одиниці;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чисельність населення адміністративно-територіальної одиниці;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обсяг меценатської допомоги закладам культури і мистецтва;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питома вага видатків на культуру та мистецтво в загальному обсязі</w:t>
      </w:r>
      <w:r w:rsidR="007D5396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видатків місцевих бюджетів.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10. Під час розрахунку видатків на фізичну культуру і спорт враховуються: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обсяг меценатської допомоги закладам фізичної культури і спорту;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кількість закладів фізичної культури і спорту в адміністративно</w:t>
      </w:r>
      <w:r w:rsidR="007D5396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-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територіальній одиниці;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обсяг додаткових надходжень до місцевого бюджету;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чисельність населення адміністративно-територіальної одиниці.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11. На першому етапі банкрутства адміністративно-територіальної одиниці здійснюють такі заходи: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суд упроваджує процедуру банкрутства;</w:t>
      </w:r>
      <w:r w:rsidR="007D5396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lastRenderedPageBreak/>
        <w:t>б) розробляється програма реструктуризації боргу і проект мирової</w:t>
      </w:r>
      <w:r w:rsidR="007D5396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угоди;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досягається мирова угода;</w:t>
      </w:r>
    </w:p>
    <w:p w:rsidR="007D5396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ухвалюються рішення щодо продовження процедури врегулювання</w:t>
      </w:r>
      <w:r w:rsidR="003076B9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заборгованості.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12. Система інструментів та заходів щодо усунення вертикальних і горизонтальних фіскальних дисбалан</w:t>
      </w:r>
      <w:r w:rsidR="003076B9"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сів шляхом перерозподілу фінан</w:t>
      </w: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сових ресурсів між органами державної і місцевої влади – це: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фінансове вирівнювання;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бюджетне фінансування;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фіскальне адміністрування;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банківське кредитування.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13. Принцип ефективності фінансового вирівнювання територій означає</w:t>
      </w:r>
      <w:r w:rsidR="003076B9"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таке: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при визначенні сукупних видаткових потреб окремі чинники, що</w:t>
      </w:r>
      <w:r w:rsidR="003076B9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визначають їх розмір, потрібно враховувати тією мірою, якою вони</w:t>
      </w:r>
      <w:r w:rsidR="003076B9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впливають на вартість послуг, що їх надають органи місцевої влади;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методи оцінки потреб і розрахунку трансфертів слід застосовувати без</w:t>
      </w:r>
      <w:r w:rsidR="003076B9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істотних змін протягом тривалого періоду часу;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розрахунки обсягів видатків, відповідно до яких визначаються суми трансфертів, не повинні враховувати ступеня ефективності використання ресурсів;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фінансове вирівнювання має стимулювати відповідальність місцевої</w:t>
      </w:r>
      <w:r w:rsidR="003076B9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влади і спонукати її до підвищення ефективності надання суспільних</w:t>
      </w:r>
      <w:r w:rsidR="003076B9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благ та послуг.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14. Передумовами розвитку міжбюджетних відносин в Україні є: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історичні;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суспільно-правові;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економічні;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усі відповіді правильні.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15. Економічні передумови розвитку міжбюджетних відносин в Україні </w:t>
      </w:r>
      <w:proofErr w:type="spellStart"/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–це</w:t>
      </w:r>
      <w:proofErr w:type="spellEnd"/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: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необхідність проведення всебічного зміцнення дохідної бази та розширення переліку власних доходів місцевих бюджетів;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потреба у проведенні обґрунтування доцільності використання бюджетних та податкових преференцій;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можливість використання досвіду міжбюджетних відносин у період</w:t>
      </w:r>
      <w:r w:rsidR="003076B9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економічних реформ;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наявність центральних органів виконавчої влади з питань регіональної</w:t>
      </w:r>
      <w:r w:rsidR="003076B9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політики та місцевого самоврядування.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16. Розподіл обсягу міжбюджетних трансфертів між міським бюджетом і</w:t>
      </w:r>
      <w:r w:rsidR="003076B9"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бюджетами районів у місті здійснюється у порядку, затвердженому: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Верховною Радою України;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обласною радою;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міською радою;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немає правильної відповіді.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17. Міжбюджетні трансферти відповідно до Бюджетного кодексу України</w:t>
      </w:r>
      <w:r w:rsidR="003076B9"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поділяються на такі види: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lastRenderedPageBreak/>
        <w:t>а) базова дотація;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субвенції;в</w:t>
      </w:r>
    </w:p>
    <w:p w:rsidR="003076B9" w:rsidRPr="00A3557B" w:rsidRDefault="003076B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</w:t>
      </w:r>
      <w:r w:rsidR="008E2989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) реверсна дотація;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усі відповіді правильні.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18. Базова дотація – це: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трансферт, що надається з державного бюджету місцевим бюджетам</w:t>
      </w:r>
      <w:r w:rsidR="003076B9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для горизонтального вирівнювання податкоспроможності територій;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кошти, що передаються до державного бюджету з місцевих бюджетів</w:t>
      </w:r>
      <w:r w:rsidR="003076B9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для горизонтального вирівнювання податкоспроможності територій;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трансферти для використання на певну мету в порядку, визначеному</w:t>
      </w:r>
      <w:r w:rsidR="003076B9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органом, який прийняв рішення про надання;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немає правильної відповіді.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19. Яке визначення субвенції є правильним: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трансферт, що надається з державного бюджету місцевим бюджетам</w:t>
      </w:r>
      <w:r w:rsidR="003076B9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для горизонтального вирівнювання податкоспроможності територій;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кошти, що передаються до державного бюджету з місцевих бюджетів</w:t>
      </w:r>
      <w:r w:rsidR="003076B9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для горизонтального вирівнювання податкоспроможності територій;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трансферти для використання на певну мету в порядку, визначеному</w:t>
      </w:r>
      <w:r w:rsidR="003076B9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органом, який прийняв рішення про надання;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немає правильної відповіді.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20. Бюджетний кодекс України визначає поняття «реверсна дотація» як: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трансферт, що надається з державного бюджету місцевим бюджетам для горизонтального вирівнювання податкоспроможності територій;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кошти, що передаються до державного бюджету з місцевих бюджетів</w:t>
      </w:r>
      <w:r w:rsidR="003076B9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для горизонтального вирівнювання податкоспроможності територій;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трансферти для використання на певну мету в порядку, визначеному</w:t>
      </w:r>
      <w:r w:rsidR="003076B9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органом, який прийняв рішення про надання;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немає правильної відповіді.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21. Трансферт, який надається з державного бюджету місцевим бюджетам</w:t>
      </w:r>
      <w:r w:rsidR="003076B9"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для горизонтального вирівнювання податкоспроможності територій, </w:t>
      </w:r>
      <w:proofErr w:type="spellStart"/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–це</w:t>
      </w:r>
      <w:proofErr w:type="spellEnd"/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: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базова дотація;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субвенція;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реверсна дотація;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немає правильної відповіді.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22. Трансферт для використання на певну мету в порядку, визначеному</w:t>
      </w:r>
      <w:r w:rsidR="003076B9"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органом, який прийняв рішення про надання, – це: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базова дотація;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субвенція;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реверсна дотація;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немає правильної відповіді.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23. Кошти, які передаються до державного бюджету з місцевих бюджетів</w:t>
      </w:r>
      <w:r w:rsidR="003076B9"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для горизонтального вирівнювання податкоспроможності територій, </w:t>
      </w:r>
      <w:proofErr w:type="spellStart"/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–це</w:t>
      </w:r>
      <w:proofErr w:type="spellEnd"/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: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базова дотація;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субвенція;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реверсна дотація;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lastRenderedPageBreak/>
        <w:t>г) немає правильної відповіді.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24. Які трансферти місцевим бюдж</w:t>
      </w:r>
      <w:r w:rsidR="003076B9"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етам можуть передбачатись у дер</w:t>
      </w: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жавному бюджеті: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базова дотація;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субвенції на здійснення державних програм соціального захисту;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додаткова дотація на компенсацію втрат доходів місцевих бюджетів</w:t>
      </w:r>
      <w:r w:rsidR="003076B9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унаслідок надання пільг, установлених державою;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усі відповіді правильні.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25. Які субвенції місцевим бюджетам можуть передбачатись у державному</w:t>
      </w:r>
      <w:r w:rsidR="003076B9"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бюджеті: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субвенція на виконання інвестиційних програм (проектів);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освітня субвенція;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субвенція на підготовку робітничих кадрів;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усі відповіді правильні.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26. Прозорість і доступ громадськості до бюджетного процесу дає</w:t>
      </w:r>
      <w:r w:rsidR="003076B9"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можливість: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точніше визначати потреби громадян;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впливати на надання громадських послуг необхідного переліку і якості;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підвищити ефективність витрачання бюджетних коштів органами</w:t>
      </w:r>
      <w:r w:rsidR="003076B9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влади;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усі відповіді правильні.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27. З урахуванням яких параметрів здійснюється горизонтальне вирівнювання податкоспроможності обласних бюджетів: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кількість населення;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надходження податку на додану вартість;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обсяг валового внутрішнього продукту;</w:t>
      </w:r>
    </w:p>
    <w:p w:rsidR="003076B9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усі відповіді правильні.</w:t>
      </w:r>
    </w:p>
    <w:p w:rsidR="00A3557B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28. З урахуванням яких параметрів здійснюється горизонтальне вирівнювання податкоспроможності бюджетів міст обласного значення,</w:t>
      </w:r>
      <w:r w:rsidR="00A3557B"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районів і об’єднаних територіальних громад:</w:t>
      </w:r>
    </w:p>
    <w:p w:rsidR="00A3557B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кількість населення;</w:t>
      </w:r>
    </w:p>
    <w:p w:rsidR="00A3557B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надходження податку на додану вартість;</w:t>
      </w:r>
    </w:p>
    <w:p w:rsidR="00A3557B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обсяг валового внутрішнього продукту;</w:t>
      </w:r>
    </w:p>
    <w:p w:rsidR="00A3557B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усі відповіді правильні.</w:t>
      </w:r>
    </w:p>
    <w:p w:rsidR="00A3557B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29. Крім яких випадків, індекси податкоспроможності місцевих бюджетів</w:t>
      </w:r>
      <w:r w:rsidR="00A3557B"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не можуть змінюватися і переглядатися частіше, ніж один раз на рік:</w:t>
      </w:r>
    </w:p>
    <w:p w:rsidR="00A3557B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виділення нових або зміни стату</w:t>
      </w:r>
      <w:r w:rsidR="00A3557B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су наявних адміністративно-тери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торіальних одиниць;</w:t>
      </w:r>
    </w:p>
    <w:p w:rsidR="00A3557B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б) зміни місцезнаходження суб’єктів господарювання – платників податків;</w:t>
      </w:r>
    </w:p>
    <w:p w:rsidR="00A3557B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зміни податкового законодавства;</w:t>
      </w:r>
    </w:p>
    <w:p w:rsidR="00A3557B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усі відповіді правильні.</w:t>
      </w:r>
    </w:p>
    <w:p w:rsidR="00A3557B" w:rsidRPr="00A3557B" w:rsidRDefault="008E2989" w:rsidP="00A41687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30. Які види міжбюджетних трансфертів можуть передбачати Верховна</w:t>
      </w:r>
      <w:r w:rsidR="00A3557B"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Рада АР Крим та місцеві ради у відповідних бюджетах:</w:t>
      </w:r>
    </w:p>
    <w:p w:rsidR="00A3557B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а) субвенції на утримання об’єктів спільного користування чи ліквідацію</w:t>
      </w:r>
      <w:r w:rsidR="00A3557B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негативних наслідків діяльності об’єктів спільного користування;</w:t>
      </w:r>
    </w:p>
    <w:p w:rsidR="00A3557B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lastRenderedPageBreak/>
        <w:t>б) субвенції на виконання інвестиційних програм (проектів), у тому числі</w:t>
      </w:r>
      <w:r w:rsidR="00A3557B"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на будівництво або реконструкцію об’єктів спільного користування;</w:t>
      </w:r>
    </w:p>
    <w:p w:rsidR="00A3557B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в) дотації та інші субвенції;</w:t>
      </w:r>
    </w:p>
    <w:p w:rsidR="00EE1121" w:rsidRPr="00A3557B" w:rsidRDefault="008E2989" w:rsidP="00A41687">
      <w:pPr>
        <w:spacing w:after="0" w:line="240" w:lineRule="auto"/>
        <w:ind w:firstLine="567"/>
        <w:jc w:val="both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A3557B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г) усі відповіді правильні</w:t>
      </w:r>
    </w:p>
    <w:p w:rsidR="00A41687" w:rsidRDefault="00A41687" w:rsidP="00A41687">
      <w:pPr>
        <w:pStyle w:val="a3"/>
        <w:spacing w:after="0" w:line="360" w:lineRule="auto"/>
        <w:ind w:left="0" w:firstLine="567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A41687" w:rsidRPr="00486B16" w:rsidRDefault="00A41687" w:rsidP="00A41687">
      <w:pPr>
        <w:pStyle w:val="a3"/>
        <w:spacing w:after="0" w:line="360" w:lineRule="auto"/>
        <w:ind w:left="0" w:firstLine="567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A4168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Вирішити 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практичне</w:t>
      </w:r>
      <w:r w:rsidRPr="00A4168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завдання</w:t>
      </w:r>
    </w:p>
    <w:p w:rsidR="00A41687" w:rsidRPr="008C40A2" w:rsidRDefault="00A41687" w:rsidP="00A41687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0A2">
        <w:rPr>
          <w:rFonts w:ascii="Times New Roman" w:hAnsi="Times New Roman" w:cs="Times New Roman"/>
          <w:sz w:val="28"/>
          <w:szCs w:val="28"/>
        </w:rPr>
        <w:t xml:space="preserve">Визначити прогнозний обсяг доходів місцевих бюджетів на основі індексів податкоспроможності. </w:t>
      </w:r>
      <w:r>
        <w:rPr>
          <w:rFonts w:ascii="Times New Roman" w:hAnsi="Times New Roman" w:cs="Times New Roman"/>
          <w:sz w:val="28"/>
          <w:szCs w:val="28"/>
        </w:rPr>
        <w:t>Результати проведених розрахунків відобразити у таблиці 1. Зробити відповідні висновки.</w:t>
      </w:r>
    </w:p>
    <w:p w:rsidR="00A41687" w:rsidRDefault="00A41687" w:rsidP="00A41687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</w:t>
      </w:r>
      <w:r w:rsidRPr="008C40A2">
        <w:rPr>
          <w:rFonts w:ascii="Times New Roman" w:hAnsi="Times New Roman" w:cs="Times New Roman"/>
          <w:sz w:val="28"/>
          <w:szCs w:val="28"/>
        </w:rPr>
        <w:t>1. Умовний розрахунок прогнозного обсягу доходів МБ на основі індексів податкоспроможності</w:t>
      </w:r>
    </w:p>
    <w:p w:rsidR="00A41687" w:rsidRPr="008C40A2" w:rsidRDefault="00A41687" w:rsidP="00A4168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276"/>
        <w:gridCol w:w="1275"/>
        <w:gridCol w:w="1276"/>
        <w:gridCol w:w="1418"/>
        <w:gridCol w:w="1559"/>
        <w:gridCol w:w="1559"/>
      </w:tblGrid>
      <w:tr w:rsidR="00A41687" w:rsidRPr="008C40A2" w:rsidTr="001B5C9B">
        <w:trPr>
          <w:jc w:val="center"/>
        </w:trPr>
        <w:tc>
          <w:tcPr>
            <w:tcW w:w="1305" w:type="dxa"/>
          </w:tcPr>
          <w:p w:rsidR="00A41687" w:rsidRPr="008C40A2" w:rsidRDefault="00A41687" w:rsidP="001B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Види М/</w:t>
            </w:r>
            <w:proofErr w:type="spellStart"/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Б-тів</w:t>
            </w:r>
            <w:proofErr w:type="spellEnd"/>
          </w:p>
        </w:tc>
        <w:tc>
          <w:tcPr>
            <w:tcW w:w="1276" w:type="dxa"/>
          </w:tcPr>
          <w:p w:rsidR="00A41687" w:rsidRPr="008C40A2" w:rsidRDefault="00A41687" w:rsidP="001B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Чис</w:t>
            </w:r>
            <w:proofErr w:type="spellEnd"/>
            <w:r w:rsidRPr="008C40A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насел</w:t>
            </w:r>
            <w:proofErr w:type="spellEnd"/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A41687" w:rsidRPr="008C40A2" w:rsidRDefault="00A41687" w:rsidP="001B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Прогноз доходів на одного мешканця</w:t>
            </w:r>
          </w:p>
          <w:p w:rsidR="00A41687" w:rsidRPr="008C40A2" w:rsidRDefault="00A41687" w:rsidP="001B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(МФУ)</w:t>
            </w:r>
          </w:p>
        </w:tc>
        <w:tc>
          <w:tcPr>
            <w:tcW w:w="1276" w:type="dxa"/>
          </w:tcPr>
          <w:p w:rsidR="00A41687" w:rsidRPr="008C40A2" w:rsidRDefault="00A41687" w:rsidP="001B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Середньо фактичний загальний обсяг надходжень за три попередні роки</w:t>
            </w:r>
          </w:p>
        </w:tc>
        <w:tc>
          <w:tcPr>
            <w:tcW w:w="1418" w:type="dxa"/>
          </w:tcPr>
          <w:p w:rsidR="00A41687" w:rsidRPr="008C40A2" w:rsidRDefault="00A41687" w:rsidP="001B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Середньо фактичний обсяг доходів на одного мешканця</w:t>
            </w:r>
          </w:p>
        </w:tc>
        <w:tc>
          <w:tcPr>
            <w:tcW w:w="1559" w:type="dxa"/>
          </w:tcPr>
          <w:p w:rsidR="00A41687" w:rsidRPr="008C40A2" w:rsidRDefault="00A41687" w:rsidP="001B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 xml:space="preserve">Індекс </w:t>
            </w:r>
            <w:proofErr w:type="spellStart"/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податко-спроможності</w:t>
            </w:r>
            <w:proofErr w:type="spellEnd"/>
          </w:p>
        </w:tc>
        <w:tc>
          <w:tcPr>
            <w:tcW w:w="1559" w:type="dxa"/>
          </w:tcPr>
          <w:p w:rsidR="00A41687" w:rsidRPr="008C40A2" w:rsidRDefault="00A41687" w:rsidP="001B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Прогнозні обсяги доходів</w:t>
            </w:r>
          </w:p>
        </w:tc>
      </w:tr>
      <w:tr w:rsidR="00A41687" w:rsidRPr="008C40A2" w:rsidTr="001B5C9B">
        <w:trPr>
          <w:jc w:val="center"/>
        </w:trPr>
        <w:tc>
          <w:tcPr>
            <w:tcW w:w="1305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Всього за бюджетом розвитку, в т.ч.</w:t>
            </w:r>
          </w:p>
        </w:tc>
        <w:tc>
          <w:tcPr>
            <w:tcW w:w="1276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275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276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418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687" w:rsidRPr="008C40A2" w:rsidTr="001B5C9B">
        <w:trPr>
          <w:jc w:val="center"/>
        </w:trPr>
        <w:tc>
          <w:tcPr>
            <w:tcW w:w="1305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Бюджет «А»</w:t>
            </w:r>
          </w:p>
        </w:tc>
        <w:tc>
          <w:tcPr>
            <w:tcW w:w="1276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75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18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687" w:rsidRPr="008C40A2" w:rsidTr="001B5C9B">
        <w:trPr>
          <w:jc w:val="center"/>
        </w:trPr>
        <w:tc>
          <w:tcPr>
            <w:tcW w:w="1305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Бюджет «</w:t>
            </w:r>
            <w:r w:rsidRPr="008C40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75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687" w:rsidRPr="008C40A2" w:rsidTr="001B5C9B">
        <w:trPr>
          <w:jc w:val="center"/>
        </w:trPr>
        <w:tc>
          <w:tcPr>
            <w:tcW w:w="1305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Бюджет «</w:t>
            </w:r>
            <w:r w:rsidRPr="008C40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687" w:rsidRPr="008C40A2" w:rsidTr="001B5C9B">
        <w:trPr>
          <w:jc w:val="center"/>
        </w:trPr>
        <w:tc>
          <w:tcPr>
            <w:tcW w:w="1305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Бюджет «</w:t>
            </w:r>
            <w:r w:rsidRPr="008C40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75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0A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1687" w:rsidRPr="008C40A2" w:rsidRDefault="00A41687" w:rsidP="001B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1687" w:rsidRPr="008C40A2" w:rsidRDefault="00A41687" w:rsidP="00A416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41687" w:rsidRDefault="00A41687" w:rsidP="00A4168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1687" w:rsidRDefault="00A41687" w:rsidP="00A416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Методичні вказівки до виконання задач:</w:t>
      </w:r>
    </w:p>
    <w:p w:rsidR="00A41687" w:rsidRDefault="00A41687" w:rsidP="00A41687">
      <w:pPr>
        <w:pStyle w:val="rvps2"/>
        <w:spacing w:before="0" w:beforeAutospacing="0" w:after="0" w:afterAutospacing="0"/>
        <w:ind w:firstLine="45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Відповідно до статті 99 БКУ</w:t>
      </w:r>
    </w:p>
    <w:p w:rsidR="00A41687" w:rsidRDefault="00A41687" w:rsidP="00A41687">
      <w:pPr>
        <w:pStyle w:val="rvps2"/>
        <w:spacing w:before="0" w:beforeAutospacing="0" w:after="0" w:afterAutospacing="0"/>
        <w:ind w:firstLine="450"/>
        <w:jc w:val="both"/>
        <w:rPr>
          <w:rFonts w:ascii="&amp;quot" w:hAnsi="&amp;quot"/>
          <w:color w:val="000000"/>
        </w:rPr>
      </w:pPr>
      <w:r w:rsidRPr="00681D13">
        <w:rPr>
          <w:rFonts w:ascii="&amp;quot" w:hAnsi="&amp;quot"/>
          <w:b/>
          <w:i/>
          <w:color w:val="000000"/>
        </w:rPr>
        <w:t>Індекс податкоспроможності</w:t>
      </w:r>
      <w:r>
        <w:rPr>
          <w:rFonts w:ascii="&amp;quot" w:hAnsi="&amp;quot"/>
          <w:color w:val="000000"/>
        </w:rPr>
        <w:t xml:space="preserve"> є коефіцієнтом, що визначає рівень податкоспроможності зведеного бюджету міста обласного значення, бюджету об’єднаної територіальної громади, районного бюджету порівняно з аналогічним середнім показником по всіх зведених бюджетах міст обласного значення, районів і бюджетах об’єднаних територіальних громад в Україні у розрахунку на одну людину.</w:t>
      </w:r>
    </w:p>
    <w:p w:rsidR="00A41687" w:rsidRDefault="00A41687" w:rsidP="00A41687">
      <w:pPr>
        <w:pStyle w:val="rvps2"/>
        <w:spacing w:before="0" w:beforeAutospacing="0" w:after="0" w:afterAutospacing="0"/>
        <w:ind w:firstLine="450"/>
        <w:jc w:val="both"/>
        <w:rPr>
          <w:rFonts w:ascii="&amp;quot" w:hAnsi="&amp;quot"/>
          <w:color w:val="000000"/>
        </w:rPr>
      </w:pPr>
      <w:bookmarkStart w:id="0" w:name="n2793"/>
      <w:bookmarkStart w:id="1" w:name="n2414"/>
      <w:bookmarkEnd w:id="0"/>
      <w:bookmarkEnd w:id="1"/>
      <w:r>
        <w:rPr>
          <w:rFonts w:ascii="&amp;quot" w:hAnsi="&amp;quot"/>
          <w:color w:val="000000"/>
        </w:rPr>
        <w:t>При здійсненні вирівнювання враховується значення індексу податкоспроможності відповідного бюджету.</w:t>
      </w:r>
    </w:p>
    <w:p w:rsidR="00A41687" w:rsidRDefault="00A41687" w:rsidP="00A41687">
      <w:pPr>
        <w:pStyle w:val="rvps2"/>
        <w:spacing w:before="0" w:beforeAutospacing="0" w:after="0" w:afterAutospacing="0"/>
        <w:ind w:firstLine="450"/>
        <w:jc w:val="both"/>
        <w:rPr>
          <w:rFonts w:ascii="&amp;quot" w:hAnsi="&amp;quot"/>
          <w:color w:val="000000"/>
        </w:rPr>
      </w:pPr>
      <w:bookmarkStart w:id="2" w:name="n2415"/>
      <w:bookmarkEnd w:id="2"/>
      <w:r w:rsidRPr="00681D13">
        <w:rPr>
          <w:rFonts w:ascii="&amp;quot" w:hAnsi="&amp;quot"/>
          <w:b/>
          <w:color w:val="000000"/>
        </w:rPr>
        <w:t>Якщо значення індексу</w:t>
      </w:r>
      <w:r>
        <w:rPr>
          <w:rFonts w:ascii="&amp;quot" w:hAnsi="&amp;quot"/>
          <w:color w:val="000000"/>
        </w:rPr>
        <w:t>:</w:t>
      </w:r>
    </w:p>
    <w:p w:rsidR="00A41687" w:rsidRDefault="00A41687" w:rsidP="00A41687">
      <w:pPr>
        <w:pStyle w:val="rvps2"/>
        <w:spacing w:before="0" w:beforeAutospacing="0" w:after="0" w:afterAutospacing="0"/>
        <w:ind w:firstLine="450"/>
        <w:jc w:val="both"/>
        <w:rPr>
          <w:rFonts w:ascii="&amp;quot" w:hAnsi="&amp;quot"/>
          <w:color w:val="000000"/>
        </w:rPr>
      </w:pPr>
      <w:bookmarkStart w:id="3" w:name="n2416"/>
      <w:bookmarkEnd w:id="3"/>
      <w:r w:rsidRPr="00681D13">
        <w:rPr>
          <w:rFonts w:ascii="&amp;quot" w:hAnsi="&amp;quot"/>
          <w:i/>
          <w:color w:val="000000"/>
        </w:rPr>
        <w:t>в межах 0,9-1,1</w:t>
      </w:r>
      <w:r>
        <w:rPr>
          <w:rFonts w:ascii="&amp;quot" w:hAnsi="&amp;quot"/>
          <w:color w:val="000000"/>
        </w:rPr>
        <w:t xml:space="preserve"> - вирівнювання не здійснюється;</w:t>
      </w:r>
    </w:p>
    <w:p w:rsidR="00A41687" w:rsidRDefault="00A41687" w:rsidP="00A41687">
      <w:pPr>
        <w:pStyle w:val="rvps2"/>
        <w:spacing w:before="0" w:beforeAutospacing="0" w:after="0" w:afterAutospacing="0"/>
        <w:ind w:firstLine="450"/>
        <w:jc w:val="both"/>
        <w:rPr>
          <w:rFonts w:ascii="&amp;quot" w:hAnsi="&amp;quot"/>
          <w:color w:val="000000"/>
        </w:rPr>
      </w:pPr>
      <w:bookmarkStart w:id="4" w:name="n2417"/>
      <w:bookmarkEnd w:id="4"/>
      <w:r w:rsidRPr="00681D13">
        <w:rPr>
          <w:rFonts w:ascii="&amp;quot" w:hAnsi="&amp;quot"/>
          <w:i/>
          <w:color w:val="000000"/>
        </w:rPr>
        <w:t>менше 0,9</w:t>
      </w:r>
      <w:r>
        <w:rPr>
          <w:rFonts w:ascii="&amp;quot" w:hAnsi="&amp;quot"/>
          <w:color w:val="000000"/>
        </w:rPr>
        <w:t xml:space="preserve"> - надається базова дотація відповідному бюджету в обсязі 80 відсотків суми, необхідної для досягнення значення такого індексу забезпеченості відповідного бюджету 0,9;</w:t>
      </w:r>
    </w:p>
    <w:p w:rsidR="00A41687" w:rsidRDefault="00A41687" w:rsidP="00A41687">
      <w:pPr>
        <w:pStyle w:val="rvps2"/>
        <w:spacing w:before="0" w:beforeAutospacing="0" w:after="0" w:afterAutospacing="0"/>
        <w:ind w:firstLine="450"/>
        <w:jc w:val="both"/>
        <w:rPr>
          <w:rFonts w:ascii="&amp;quot" w:hAnsi="&amp;quot"/>
          <w:color w:val="000000"/>
        </w:rPr>
      </w:pPr>
      <w:bookmarkStart w:id="5" w:name="n2418"/>
      <w:bookmarkEnd w:id="5"/>
      <w:r w:rsidRPr="00681D13">
        <w:rPr>
          <w:rFonts w:ascii="&amp;quot" w:hAnsi="&amp;quot"/>
          <w:i/>
          <w:color w:val="000000"/>
        </w:rPr>
        <w:t>більше 1,1</w:t>
      </w:r>
      <w:r>
        <w:rPr>
          <w:rFonts w:ascii="&amp;quot" w:hAnsi="&amp;quot"/>
          <w:color w:val="000000"/>
        </w:rPr>
        <w:t xml:space="preserve"> - передається реверсна дотація з відповідного бюджету в обсязі 50 відсотків суми, що перевищує значення такого індексу 1,1</w:t>
      </w:r>
    </w:p>
    <w:p w:rsidR="00A3557B" w:rsidRDefault="00A3557B" w:rsidP="008E29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2989" w:rsidRPr="008E2989" w:rsidRDefault="008E2989" w:rsidP="00A416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Виконані контрольні завдання надсилати на електронну пошту: </w:t>
      </w:r>
      <w:hyperlink r:id="rId6" w:history="1">
        <w:r w:rsidR="00A41687" w:rsidRPr="00E75C1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litvin</w:t>
        </w:r>
        <w:r w:rsidR="00A41687" w:rsidRPr="00E75C14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4</w:t>
        </w:r>
        <w:r w:rsidR="00A41687" w:rsidRPr="00E75C1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ykrina</w:t>
        </w:r>
        <w:r w:rsidR="00A41687" w:rsidRPr="00E75C14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@</w:t>
        </w:r>
        <w:r w:rsidR="00A41687" w:rsidRPr="00E75C1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ztu</w:t>
        </w:r>
        <w:r w:rsidR="00A41687" w:rsidRPr="00A41687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.</w:t>
        </w:r>
        <w:r w:rsidR="00A41687" w:rsidRPr="00E75C1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edu</w:t>
        </w:r>
        <w:r w:rsidR="00A41687" w:rsidRPr="00A41687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.</w:t>
        </w:r>
        <w:proofErr w:type="spellStart"/>
        <w:r w:rsidR="00A41687" w:rsidRPr="00E75C1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ua</w:t>
        </w:r>
        <w:proofErr w:type="spellEnd"/>
      </w:hyperlink>
      <w:r w:rsidR="00A41687" w:rsidRPr="00A4168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bookmarkStart w:id="6" w:name="_GoBack"/>
      <w:bookmarkEnd w:id="6"/>
    </w:p>
    <w:sectPr w:rsidR="008E2989" w:rsidRPr="008E2989" w:rsidSect="00A3557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MinionPro-Bold">
    <w:altName w:val="Times New Roman"/>
    <w:panose1 w:val="00000000000000000000"/>
    <w:charset w:val="00"/>
    <w:family w:val="roman"/>
    <w:notTrueType/>
    <w:pitch w:val="default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MinionPro-CnI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3C67"/>
    <w:multiLevelType w:val="hybridMultilevel"/>
    <w:tmpl w:val="25B88B56"/>
    <w:lvl w:ilvl="0" w:tplc="26D63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781287"/>
    <w:multiLevelType w:val="hybridMultilevel"/>
    <w:tmpl w:val="25B88B56"/>
    <w:lvl w:ilvl="0" w:tplc="26D63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89"/>
    <w:rsid w:val="003076B9"/>
    <w:rsid w:val="007D5396"/>
    <w:rsid w:val="008E2989"/>
    <w:rsid w:val="00A3557B"/>
    <w:rsid w:val="00A41687"/>
    <w:rsid w:val="00E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E2989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character" w:customStyle="1" w:styleId="fontstyle11">
    <w:name w:val="fontstyle11"/>
    <w:basedOn w:val="a0"/>
    <w:rsid w:val="008E2989"/>
    <w:rPr>
      <w:rFonts w:ascii="MinionPro-Bold" w:hAnsi="MinionPro-Bold" w:hint="default"/>
      <w:b/>
      <w:bCs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a0"/>
    <w:rsid w:val="008E2989"/>
    <w:rPr>
      <w:rFonts w:ascii="MinionPro-Regular" w:hAnsi="MinionPro-Regula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a0"/>
    <w:rsid w:val="008E2989"/>
    <w:rPr>
      <w:rFonts w:ascii="MinionPro-CnIt" w:hAnsi="MinionPro-CnIt" w:hint="default"/>
      <w:b w:val="0"/>
      <w:bCs w:val="0"/>
      <w:i/>
      <w:iCs/>
      <w:color w:val="242021"/>
      <w:sz w:val="10"/>
      <w:szCs w:val="10"/>
    </w:rPr>
  </w:style>
  <w:style w:type="character" w:customStyle="1" w:styleId="fontstyle51">
    <w:name w:val="fontstyle51"/>
    <w:basedOn w:val="a0"/>
    <w:rsid w:val="008E2989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paragraph" w:styleId="a3">
    <w:name w:val="List Paragraph"/>
    <w:basedOn w:val="a"/>
    <w:uiPriority w:val="34"/>
    <w:qFormat/>
    <w:rsid w:val="00A3557B"/>
    <w:pPr>
      <w:ind w:left="720"/>
      <w:contextualSpacing/>
    </w:pPr>
  </w:style>
  <w:style w:type="table" w:styleId="a4">
    <w:name w:val="Table Grid"/>
    <w:basedOn w:val="a1"/>
    <w:uiPriority w:val="59"/>
    <w:rsid w:val="00A3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A4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A416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E2989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character" w:customStyle="1" w:styleId="fontstyle11">
    <w:name w:val="fontstyle11"/>
    <w:basedOn w:val="a0"/>
    <w:rsid w:val="008E2989"/>
    <w:rPr>
      <w:rFonts w:ascii="MinionPro-Bold" w:hAnsi="MinionPro-Bold" w:hint="default"/>
      <w:b/>
      <w:bCs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a0"/>
    <w:rsid w:val="008E2989"/>
    <w:rPr>
      <w:rFonts w:ascii="MinionPro-Regular" w:hAnsi="MinionPro-Regula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a0"/>
    <w:rsid w:val="008E2989"/>
    <w:rPr>
      <w:rFonts w:ascii="MinionPro-CnIt" w:hAnsi="MinionPro-CnIt" w:hint="default"/>
      <w:b w:val="0"/>
      <w:bCs w:val="0"/>
      <w:i/>
      <w:iCs/>
      <w:color w:val="242021"/>
      <w:sz w:val="10"/>
      <w:szCs w:val="10"/>
    </w:rPr>
  </w:style>
  <w:style w:type="character" w:customStyle="1" w:styleId="fontstyle51">
    <w:name w:val="fontstyle51"/>
    <w:basedOn w:val="a0"/>
    <w:rsid w:val="008E2989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paragraph" w:styleId="a3">
    <w:name w:val="List Paragraph"/>
    <w:basedOn w:val="a"/>
    <w:uiPriority w:val="34"/>
    <w:qFormat/>
    <w:rsid w:val="00A3557B"/>
    <w:pPr>
      <w:ind w:left="720"/>
      <w:contextualSpacing/>
    </w:pPr>
  </w:style>
  <w:style w:type="table" w:styleId="a4">
    <w:name w:val="Table Grid"/>
    <w:basedOn w:val="a1"/>
    <w:uiPriority w:val="59"/>
    <w:rsid w:val="00A3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A4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A41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tvin4ykrina@zt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8090</Words>
  <Characters>4612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2020-03-16T17:02:00Z</dcterms:created>
  <dcterms:modified xsi:type="dcterms:W3CDTF">2023-10-12T11:50:00Z</dcterms:modified>
</cp:coreProperties>
</file>