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0A" w:rsidRPr="0011320A" w:rsidRDefault="0011320A" w:rsidP="0011320A">
      <w:pPr>
        <w:shd w:val="clear" w:color="auto" w:fill="FFFFFF"/>
        <w:spacing w:after="0" w:line="240" w:lineRule="auto"/>
        <w:jc w:val="center"/>
        <w:outlineLvl w:val="1"/>
        <w:rPr>
          <w:rFonts w:ascii="rr" w:eastAsia="Times New Roman" w:hAnsi="rr" w:cs="Times New Roman"/>
          <w:b/>
          <w:sz w:val="36"/>
          <w:szCs w:val="36"/>
          <w:lang w:val="uk-UA" w:eastAsia="ru-RU"/>
        </w:rPr>
      </w:pPr>
      <w:r w:rsidRPr="0011320A">
        <w:rPr>
          <w:rFonts w:ascii="rb" w:eastAsia="Times New Roman" w:hAnsi="rb" w:cs="Times New Roman"/>
          <w:b/>
          <w:sz w:val="24"/>
          <w:szCs w:val="24"/>
          <w:lang w:val="uk-UA" w:eastAsia="ru-RU"/>
        </w:rPr>
        <w:t>Тема. Прогнозування масштабів і наслідків аварій на хімічно небезпечних об’єктах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outlineLvl w:val="2"/>
        <w:rPr>
          <w:rFonts w:ascii="rb" w:eastAsia="Times New Roman" w:hAnsi="rb" w:cs="Times New Roman"/>
          <w:i/>
          <w:iCs/>
          <w:sz w:val="24"/>
          <w:szCs w:val="24"/>
          <w:lang w:val="uk-UA" w:eastAsia="ru-RU"/>
        </w:rPr>
      </w:pP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outlineLvl w:val="2"/>
        <w:rPr>
          <w:rFonts w:ascii="rr" w:eastAsia="Times New Roman" w:hAnsi="rr" w:cs="Times New Roman"/>
          <w:sz w:val="27"/>
          <w:szCs w:val="27"/>
          <w:lang w:val="uk-UA" w:eastAsia="ru-RU"/>
        </w:rPr>
      </w:pPr>
      <w:r w:rsidRPr="0011320A">
        <w:rPr>
          <w:rFonts w:ascii="rb" w:eastAsia="Times New Roman" w:hAnsi="rb" w:cs="Times New Roman"/>
          <w:i/>
          <w:iCs/>
          <w:sz w:val="24"/>
          <w:szCs w:val="24"/>
          <w:lang w:val="uk-UA" w:eastAsia="ru-RU"/>
        </w:rPr>
        <w:t>2.1. Короткі теоретичні відомості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</w:pP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Хімічна обстановка при аваріях на хімічно-небезпечних об’єктах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– це ступінь хімічного забруднення атмосфери і місцевості небезпечними хімічними речовинами, які впливають на діяльність об’єктів господарської діяльності, життєдіяльність населення і проведення аварійно-рятувальних та відновлюваних робіт.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Небезпека ураження населення, робітників і службовців СДОР вимагає швидкого виявлення небезпечних речовин, оцінки хімічної обстановки й обліку її впливу на організацію рятувальних та інших невідкладних робіт, а також на виробничу діяльність в умовах зараження.</w:t>
      </w:r>
    </w:p>
    <w:p w:rsidR="0096521F" w:rsidRDefault="0011320A" w:rsidP="0096521F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4"/>
          <w:szCs w:val="24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Прогнозування масштабів зон зараження небезпечними хімічними речовинами (НХР) при аваріях на технологічному обладнанні та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ємностях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при транспортуванні, а також у випадку руйнування хімічно небезпечних об’єктів проводиться за допомогою “Методики прогнозування наслідків виливу (викиду) небезпечних хімічних речовин при аваріях на промислових об’єктах і транспорті”, затвердженої наказом </w:t>
      </w:r>
      <w:r w:rsidR="0096521F" w:rsidRPr="0096521F">
        <w:rPr>
          <w:rFonts w:ascii="rr" w:eastAsia="Times New Roman" w:hAnsi="rr" w:cs="Times New Roman"/>
          <w:sz w:val="24"/>
          <w:szCs w:val="24"/>
          <w:lang w:val="uk-UA" w:eastAsia="ru-RU"/>
        </w:rPr>
        <w:t>Міністерства</w:t>
      </w:r>
      <w:r w:rsidR="0096521F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</w:t>
      </w:r>
      <w:r w:rsidR="0096521F" w:rsidRPr="0096521F">
        <w:rPr>
          <w:rFonts w:ascii="rr" w:eastAsia="Times New Roman" w:hAnsi="rr" w:cs="Times New Roman"/>
          <w:sz w:val="24"/>
          <w:szCs w:val="24"/>
          <w:lang w:val="uk-UA" w:eastAsia="ru-RU"/>
        </w:rPr>
        <w:t>внутрішніх справ України</w:t>
      </w:r>
      <w:r w:rsidR="0096521F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</w:t>
      </w:r>
      <w:r w:rsidR="0096521F" w:rsidRPr="0096521F">
        <w:rPr>
          <w:rFonts w:ascii="rr" w:eastAsia="Times New Roman" w:hAnsi="rr" w:cs="Times New Roman"/>
          <w:sz w:val="24"/>
          <w:szCs w:val="24"/>
          <w:lang w:val="uk-UA" w:eastAsia="ru-RU"/>
        </w:rPr>
        <w:t>29 листопада 2019 року № 1000</w:t>
      </w:r>
      <w:r w:rsidR="0096521F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(</w:t>
      </w:r>
      <w:r w:rsidR="0096521F" w:rsidRPr="0096521F">
        <w:rPr>
          <w:rFonts w:ascii="rr" w:eastAsia="Times New Roman" w:hAnsi="rr" w:cs="Times New Roman"/>
          <w:sz w:val="24"/>
          <w:szCs w:val="24"/>
          <w:lang w:val="uk-UA" w:eastAsia="ru-RU"/>
        </w:rPr>
        <w:t>https://zakon.rada.gov.ua/laws/show/z0440-20#n13</w:t>
      </w:r>
      <w:r w:rsidR="0096521F">
        <w:rPr>
          <w:rFonts w:ascii="rr" w:eastAsia="Times New Roman" w:hAnsi="rr" w:cs="Times New Roman"/>
          <w:sz w:val="24"/>
          <w:szCs w:val="24"/>
          <w:lang w:val="uk-UA" w:eastAsia="ru-RU"/>
        </w:rPr>
        <w:t>).</w:t>
      </w:r>
    </w:p>
    <w:p w:rsidR="0011320A" w:rsidRPr="0011320A" w:rsidRDefault="0011320A" w:rsidP="0096521F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Методика застосовується для НХР, що перебувають у рідкому або газоподібному стані та при потраплянні в атмосферу переходять у газоподібний стан і утворюють хмару зараженого повітря. Розрахунки передбачається проводити для приземного шару повітря до висоти 10м над поверхнею землі. Методика може бути використана для довгострокового і оперативного прогнозування при аваріях на ХНО і транспорті.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Довгострокове прогнозування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здійснюється заздалегідь для визначення можливих масштабів зараження, сил і засобів, які залучатимуться для ліквідації наслідків аварії, складення планів роботи та інших довгострокових (довідкових і прогнозних) документів і матеріалів.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Оперативне (аварійне)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прогнозування 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здійснюється під час виникнення аварії за даними розвідки для визначення можливих наслідків аварії і порядку дій в зоні можливого зараження. Таке прогнозування здійснюється на термін не більше ніж 4 години, після чого розрахунки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уточнюються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Прогнозування і оцінка хімічної обстановки має на меті визначення наступних параметрів: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• напрямку осі сліду хмари викиду хімічних речовин внаслідок аварії або руйнування технологічного обладнання чи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ємностей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для зберігання СДОР за метеорологічними даними;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• розмірів зон забруднення місцевості за очікуваними значеннями доз ураження;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• прогнозування глибини зони ураження СДОР;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• визначення площі ураження СДОР;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• визначення часу підходу зараженого повітря до об’єкту і тривалості дії ураження СДОР;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• встановлення можливих хімічних уражень людей, що знаходяться в осередку ураження;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• порядок нанесення зон ураження на карти і схеми.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Вихідними даними для прогнозування і оцінки хімічної обстановки є: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- координати місця розташування ХНО;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- загальна кількість СДОР на об’єкті і дані про їх розміщення і запаси в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ємностях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, трубопроводах та технологічному обладнанні;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- кількість СДОР, викинутих в атмосферу і характер розливу на підстилку поверхні («вільно», «в піддон» або «в обвалування»);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- висота піддона або обвалування складських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ємностей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- метеорологічні умови (температура повітря, швидкість вітру на висоті 10м (на висоту флюгеру), ступінь вертикальної стійкості повітря).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Зовнішні межі зони зараження розраховують відносно вражаючої токсичної дози при інгаляційній дії на організм людини. Вражаюча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токсодоза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– це найменша кількість СДОР в 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lastRenderedPageBreak/>
        <w:t>одиниці об’єму зараженого повітря, яка може спричинити відчутний негативний фізіологічний ефект за певний час.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</w:pP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2.1.1. Визначення еквівалентної кількості СДОР () у первинній хмарі. 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Під час аварії на ХНО або в разі його руйнування частина СДОР, що знаходилась у місткостях під тиском, унаслідок викиду в атмосферу миттєво переходить у довкілля, утворюючи первинну хмару зараженого повітря. Еквівалентна кількість речовини у первинній хмарі: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Q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e1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=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1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3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5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7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Q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0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,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де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1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- коефіцієнт, що залежить від умов зберігання СДОР (для стиснутих газів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1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=1 (додаток 2.3));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3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 - коефіцієнт, що дорівнює відношенню значення вражаючої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токсодози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хлору до значення вражаючої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токсодози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іншої СДОР (додаток 3);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5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- коефіцієнт, що враховує ступінь вертикальної стійкості атмосфери (для інверсії – 1; ізотермії – 0,23; конвекції – 0,08);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7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- коефіцієнт, що враховує вплив температури повітря (додаток 2.3); Q - початкова маса викинутої (розлитої) СДОР, т.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При аваріях на сховищах стиснутого газу: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Q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0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 = d *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W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x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,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де d - густина СДОР, т/м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3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;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W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x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- об’єм місткості, м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3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При аваріях на газопроводі: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366713"/>
            <wp:effectExtent l="0" t="0" r="0" b="0"/>
            <wp:docPr id="20" name="Рисунок 20" descr="М5032,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5032,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54" cy="36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де n - частка СДОР у природному газі, %; d - густина СДОР, т/м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3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;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W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r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- об’єм секції газопроводу між автоматичними відсічками, м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3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Визначаючи Q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e1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для стиснутих газів, що не увійшли до додатків, приймають значення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7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=1, а, де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Cp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- питома</w:t>
      </w: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 wp14:anchorId="57E01B55" wp14:editId="4B857DEB">
            <wp:extent cx="800100" cy="444975"/>
            <wp:effectExtent l="0" t="0" r="0" b="0"/>
            <wp:docPr id="19" name="Рисунок 19" descr="М5032,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5032,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53" cy="44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теплоємність рідкої СДОР,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кДж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/кг * град; ∆O - різниця температури рідкої СДОР до і після руйнування ємності, °С; ∆H - питома теплота випаровування рідкої СДОР при температурі випаровування,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кДж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/кг.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</w:pP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 xml:space="preserve">2.1.2. Визначення тривалості дії </w:t>
      </w:r>
      <w:proofErr w:type="spellStart"/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фактора</w:t>
      </w:r>
      <w:proofErr w:type="spellEnd"/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 xml:space="preserve"> зараження. 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Визначення проводиться за формулою: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1244600" cy="423942"/>
            <wp:effectExtent l="0" t="0" r="0" b="0"/>
            <wp:docPr id="18" name="Рисунок 18" descr="М5032,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5032,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27" cy="43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де d - густина СДОР, т/м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3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; h - товщина шару розлитої СДОР, м;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2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,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4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,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7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- коефіцієнти з попередніх розрахунків.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2.1.3. Визначення еквівалентної кількості СДОР (Q</w:t>
      </w:r>
      <w:r w:rsidRPr="0011320A">
        <w:rPr>
          <w:rFonts w:ascii="rr" w:eastAsia="Times New Roman" w:hAnsi="rr" w:cs="Times New Roman"/>
          <w:i/>
          <w:iCs/>
          <w:sz w:val="18"/>
          <w:szCs w:val="18"/>
          <w:vertAlign w:val="subscript"/>
          <w:lang w:val="uk-UA" w:eastAsia="ru-RU"/>
        </w:rPr>
        <w:t>e2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) у вторинній хмарі.</w:t>
      </w:r>
      <w:r w:rsidRPr="0011320A">
        <w:rPr>
          <w:rFonts w:ascii="rr" w:eastAsia="Times New Roman" w:hAnsi="rr" w:cs="Times New Roman"/>
          <w:sz w:val="24"/>
          <w:szCs w:val="24"/>
          <w:u w:val="single"/>
          <w:lang w:val="uk-UA" w:eastAsia="ru-RU"/>
        </w:rPr>
        <w:t> 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Частина СДОР, що залишається не викинутою в атмосферу, поширюючись по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підстилаючій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поверхні, поступово випаровується. Еквівалентна кількість речовини у вторинній хмарі: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2317750" cy="425709"/>
            <wp:effectExtent l="0" t="0" r="6350" b="0"/>
            <wp:docPr id="17" name="Рисунок 17" descr="М5032,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5032,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381" cy="43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4"/>
          <w:szCs w:val="24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де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2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 - коефіцієнт, що залежить від фізико-хімічних властивостей СДОР (додаток 2.3); 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4"/>
          <w:szCs w:val="24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4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 - коефіцієнт, що враховує швидкість вітру у приземному шарі (додаток 2.4); 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4"/>
          <w:szCs w:val="24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d - густина СДОР, т/м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3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; 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4"/>
          <w:szCs w:val="24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h - товщина шару розлитої СДОР, м (товщину шару рідини для СДОР, що вільно розлилася, беруть 0,05 м (5 см) на всій площі розливу, а для СДОР, що розлита в піддон (обвалування), визначають співвідношенням h = H – 0,2, де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Н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 – висота піддону, м); 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6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- коефіцієнт, що залежить від часу, що пройшов після аварії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N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і тривалості випаровування речовини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Т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lastRenderedPageBreak/>
        <w:t>Коефіцієнт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6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визначають після розрахунків тривалості випаровування речовини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Т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. При </w:t>
      </w: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527050" cy="323850"/>
            <wp:effectExtent l="0" t="0" r="6350" b="0"/>
            <wp:docPr id="16" name="Рисунок 16" descr="М5032,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5032,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значення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6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= N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0,8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, при N&lt;T -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6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= T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0,8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, при T&lt;1год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6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=1.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4"/>
          <w:szCs w:val="24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Для речовин, що не включені до додатку, значення K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7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=1, а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4"/>
          <w:szCs w:val="24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</w:t>
      </w: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273538"/>
            <wp:effectExtent l="0" t="0" r="0" b="0"/>
            <wp:docPr id="15" name="Рисунок 15" descr="М5032,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5032,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80" cy="27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, 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де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М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– молекулярна маса речовини;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Р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 – тиск насиченої пари речовини при заданій температурі повітря, мм.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рт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. ст.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</w:pP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2.1.4. Визначення глибини зони зараження при аварії на ХНО. 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Максимальне значення глибини зони зараження первинною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(Г</w:t>
      </w:r>
      <w:r w:rsidRPr="0011320A">
        <w:rPr>
          <w:rFonts w:ascii="rr" w:eastAsia="Times New Roman" w:hAnsi="rr" w:cs="Times New Roman"/>
          <w:i/>
          <w:iCs/>
          <w:sz w:val="18"/>
          <w:szCs w:val="18"/>
          <w:vertAlign w:val="subscript"/>
          <w:lang w:val="uk-UA" w:eastAsia="ru-RU"/>
        </w:rPr>
        <w:t>1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)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чи вторинною (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Г</w:t>
      </w:r>
      <w:r w:rsidRPr="0011320A">
        <w:rPr>
          <w:rFonts w:ascii="rr" w:eastAsia="Times New Roman" w:hAnsi="rr" w:cs="Times New Roman"/>
          <w:i/>
          <w:iCs/>
          <w:sz w:val="18"/>
          <w:szCs w:val="18"/>
          <w:vertAlign w:val="subscript"/>
          <w:lang w:val="uk-UA" w:eastAsia="ru-RU"/>
        </w:rPr>
        <w:t>2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)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хмарами СДОР за додатком 2.2. Повна глибина зони зараження (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Г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, км) визначається наступним чином: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Г = Г’ + 0,5 Г”,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де Г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’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- більший, а Г” - менший із розмірів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Г</w:t>
      </w:r>
      <w:r w:rsidRPr="0011320A">
        <w:rPr>
          <w:rFonts w:ascii="rr" w:eastAsia="Times New Roman" w:hAnsi="rr" w:cs="Times New Roman"/>
          <w:i/>
          <w:iCs/>
          <w:sz w:val="18"/>
          <w:szCs w:val="18"/>
          <w:vertAlign w:val="subscript"/>
          <w:lang w:val="uk-UA" w:eastAsia="ru-RU"/>
        </w:rPr>
        <w:t>1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і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Г</w:t>
      </w:r>
      <w:r w:rsidRPr="0011320A">
        <w:rPr>
          <w:rFonts w:ascii="rr" w:eastAsia="Times New Roman" w:hAnsi="rr" w:cs="Times New Roman"/>
          <w:i/>
          <w:iCs/>
          <w:sz w:val="18"/>
          <w:szCs w:val="18"/>
          <w:vertAlign w:val="subscript"/>
          <w:lang w:val="uk-UA" w:eastAsia="ru-RU"/>
        </w:rPr>
        <w:t>2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Одержаний результат порівнюють з максимально можливим значенням глибини переносу повітряних мас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Г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n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на даний час, що визначається за формулою: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i/>
          <w:sz w:val="23"/>
          <w:szCs w:val="23"/>
          <w:lang w:val="uk-UA" w:eastAsia="ru-RU"/>
        </w:rPr>
      </w:pPr>
      <w:proofErr w:type="spellStart"/>
      <w:r w:rsidRPr="0011320A">
        <w:rPr>
          <w:rFonts w:ascii="rr" w:eastAsia="Times New Roman" w:hAnsi="rr" w:cs="Times New Roman"/>
          <w:i/>
          <w:sz w:val="24"/>
          <w:szCs w:val="24"/>
          <w:lang w:val="uk-UA" w:eastAsia="ru-RU"/>
        </w:rPr>
        <w:t>Г</w:t>
      </w:r>
      <w:r w:rsidRPr="0011320A">
        <w:rPr>
          <w:rFonts w:ascii="rr" w:eastAsia="Times New Roman" w:hAnsi="rr" w:cs="Times New Roman"/>
          <w:i/>
          <w:sz w:val="18"/>
          <w:szCs w:val="18"/>
          <w:vertAlign w:val="subscript"/>
          <w:lang w:val="uk-UA" w:eastAsia="ru-RU"/>
        </w:rPr>
        <w:t>n</w:t>
      </w:r>
      <w:proofErr w:type="spellEnd"/>
      <w:r w:rsidRPr="0011320A">
        <w:rPr>
          <w:rFonts w:ascii="rr" w:eastAsia="Times New Roman" w:hAnsi="rr" w:cs="Times New Roman"/>
          <w:i/>
          <w:sz w:val="24"/>
          <w:szCs w:val="24"/>
          <w:lang w:val="uk-UA" w:eastAsia="ru-RU"/>
        </w:rPr>
        <w:t> = t * V,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де t - час від початку аварії, год; V - швидкість перенесення переднього фронту хмари зараженого повітря при заданій швидкості вітру та ступеня вертикальної стійкості атмосфери, км/год (додаток 2.5).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Остаточно розрахунковою глибиною зони зараження слід вважати менше із двох порівнюваних між собою значень.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2.1.5. Визначення площі зони можливого зараження СДОР.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Зона можливого хімічного зараження СДОР – це площа кола або його частини з радіусом, що дорівнює глибині поширення хмари повітря з вражаючою концентрацією СДОР: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793750" cy="356044"/>
            <wp:effectExtent l="0" t="0" r="6350" b="6350"/>
            <wp:docPr id="14" name="Рисунок 14" descr="М5032,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5032,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00" cy="3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де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S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сдор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- площа зони зараження СДОР, км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2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;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Г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– повна глибина зараження, км; n - коефіцієнт, що залежить від швидкості вітру (табл. 2.1).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center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Таблиця 2.1 – </w:t>
      </w: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Залежність коефіцієнта </w:t>
      </w:r>
      <w:r w:rsidRPr="0011320A">
        <w:rPr>
          <w:rFonts w:ascii="rb" w:eastAsia="Times New Roman" w:hAnsi="rb" w:cs="Times New Roman"/>
          <w:i/>
          <w:iCs/>
          <w:sz w:val="24"/>
          <w:szCs w:val="24"/>
          <w:lang w:val="uk-UA" w:eastAsia="ru-RU"/>
        </w:rPr>
        <w:t>п</w:t>
      </w: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 від швидкості вітру</w:t>
      </w:r>
    </w:p>
    <w:tbl>
      <w:tblPr>
        <w:tblW w:w="85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1416"/>
        <w:gridCol w:w="1416"/>
        <w:gridCol w:w="1503"/>
        <w:gridCol w:w="1503"/>
      </w:tblGrid>
      <w:tr w:rsidR="0011320A" w:rsidRPr="0011320A" w:rsidTr="0011320A">
        <w:trPr>
          <w:jc w:val="center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Швидкість вітру, м/с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 до 2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понад 2</w:t>
            </w:r>
          </w:p>
        </w:tc>
      </w:tr>
      <w:tr w:rsidR="0011320A" w:rsidRPr="0011320A" w:rsidTr="0011320A">
        <w:trPr>
          <w:jc w:val="center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коефіцієнта </w:t>
            </w:r>
            <w:r w:rsidRPr="001132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</w:tbl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Бісектриса сектора збігається з віссю хмари і орієнтована на напрямок вітру, точка 0 відповідає розміщенню джерела зараження.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2.1.6. Визначення часу підходу зараженого СДОР повітря до об’єкта.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Час підходу хмари зараженого повітря визначається за формулою: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702469" cy="381000"/>
            <wp:effectExtent l="0" t="0" r="2540" b="0"/>
            <wp:docPr id="13" name="Рисунок 13" descr="М5032,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5032,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4" cy="38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де x – відстань від джерела зараження до об’єкта, км; V - швидкість перенесення переднього фронту хмари зараженого повітря, км/год., визначається за допомогою додатку 2.5.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</w:pP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2.1.7. Визначення можливих втрат людей.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Можливі втрати робітників, службовців і населення від СДОР, а також структура втрат визначаються за таблицею додатку 2.6 і залежать від умов перебування людей на зараженій місцевості та ступеня забезпеченості їх протигазами.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</w:pP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2.1.8. Порядок нанесення зони зараження на карту (схему). 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Зона можливого зараження хмарою СДОР на карту (схему) наноситься у вигляді кола (півкола, сектора) з радіусом, що 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lastRenderedPageBreak/>
        <w:t>дорівнює глибині зони зараження (Г), а кутовий розмір залежить від швидкості приземного вітру (табл. 2.2).</w:t>
      </w:r>
    </w:p>
    <w:p w:rsidR="0011320A" w:rsidRDefault="0011320A" w:rsidP="0011320A">
      <w:pPr>
        <w:shd w:val="clear" w:color="auto" w:fill="FFFFFF"/>
        <w:spacing w:after="0" w:line="240" w:lineRule="auto"/>
        <w:jc w:val="center"/>
        <w:rPr>
          <w:rFonts w:ascii="rr" w:eastAsia="Times New Roman" w:hAnsi="rr" w:cs="Times New Roman"/>
          <w:sz w:val="24"/>
          <w:szCs w:val="24"/>
          <w:lang w:val="uk-UA" w:eastAsia="ru-RU"/>
        </w:rPr>
      </w:pPr>
    </w:p>
    <w:p w:rsidR="0011320A" w:rsidRPr="0011320A" w:rsidRDefault="0011320A" w:rsidP="0011320A">
      <w:pPr>
        <w:shd w:val="clear" w:color="auto" w:fill="FFFFFF"/>
        <w:spacing w:after="0" w:line="240" w:lineRule="auto"/>
        <w:jc w:val="center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Таблиця 2.2 – </w:t>
      </w: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Зона хімічного зараження залежно від швидкості вітру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center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1524000"/>
            <wp:effectExtent l="0" t="0" r="0" b="0"/>
            <wp:docPr id="12" name="Рисунок 12" descr="М5032, Таблиця 1 - Зона хімічного зараження залежно від швидкості вітру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5032, Таблиця 1 - Зона хімічного зараження залежно від швидкості вітру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1. Якщо за прогнозом швидкість вітру менша за 1 м/с, то зона зараження має вигляд кола, у центрі якого розміщене джерело зараження, а радіус дорівнює глибині зараження.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2. Якщо швидкість вітру за прогнозом дорівнює 1 м/с, то зона має вигляд півкола, бісектриса кута 180º збігається з віссю забрудненої хмари і орієнтована в напрямку вітру.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3. Якщо швидкість вітру за прогнозом від 1 до 2 м/с, то зона має вигляд однієї четвертої кола.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4. Якщо швидкість вітру за прогнозом понад 2 м/с, то зона має вигляд однієї восьмої частини кола.</w:t>
      </w:r>
    </w:p>
    <w:p w:rsidR="0011320A" w:rsidRDefault="0011320A" w:rsidP="0011320A">
      <w:pPr>
        <w:shd w:val="clear" w:color="auto" w:fill="FFFFFF"/>
        <w:spacing w:after="0" w:line="240" w:lineRule="auto"/>
        <w:jc w:val="both"/>
        <w:outlineLvl w:val="2"/>
        <w:rPr>
          <w:rFonts w:ascii="rb" w:eastAsia="Times New Roman" w:hAnsi="rb" w:cs="Times New Roman"/>
          <w:i/>
          <w:iCs/>
          <w:sz w:val="24"/>
          <w:szCs w:val="24"/>
          <w:lang w:val="uk-UA" w:eastAsia="ru-RU"/>
        </w:rPr>
      </w:pP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outlineLvl w:val="2"/>
        <w:rPr>
          <w:rFonts w:ascii="rr" w:eastAsia="Times New Roman" w:hAnsi="rr" w:cs="Times New Roman"/>
          <w:b/>
          <w:sz w:val="27"/>
          <w:szCs w:val="27"/>
          <w:lang w:val="uk-UA" w:eastAsia="ru-RU"/>
        </w:rPr>
      </w:pPr>
      <w:r w:rsidRPr="0011320A">
        <w:rPr>
          <w:rFonts w:ascii="rb" w:eastAsia="Times New Roman" w:hAnsi="rb" w:cs="Times New Roman"/>
          <w:b/>
          <w:i/>
          <w:iCs/>
          <w:sz w:val="24"/>
          <w:szCs w:val="24"/>
          <w:lang w:val="uk-UA" w:eastAsia="ru-RU"/>
        </w:rPr>
        <w:t>2.2. Приклад оцінки хімічної обстановки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В 14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00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на хімічно небезпечному об’єкті внаслідок аварії зруйновано ємність, в якій містилось 20 т хлору. Ємність не обвалована. На відстані 7 км від ХНО по азимуту 120º знаходиться підприємство харчової промисловості. На підприємстві працює 90 осіб, забезпеченість протигазами – 80%. Час від початку аварії – 1 год.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Метеорологічні умови: суцільна хмарність, швидкість вітру 2 м/с, напрямок вітру (азимут) 315º, температура повітря +20ºС.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u w:val="single"/>
          <w:lang w:val="uk-UA" w:eastAsia="ru-RU"/>
        </w:rPr>
        <w:t>Визначити: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- тривалість дії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фактора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зараження;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- повну глибину та площу зони хімічного зараження;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- час підходу хмари зараженого повітря до об’єкта харчової промисловості;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- можливі втрати виробничого персоналу.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Нанести на схему зону хімічного зараження.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1. За додатком 2.1 знаходимо ступінь вертикальної стійкості атмосфери. Вдень за суцільної хмарності та швидкості вітру 2 м/с – це буде 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ізотермія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2. Визначаємо еквівалентну кількість хлору (Q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e1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) у первинній хмарі: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3790950" cy="342900"/>
            <wp:effectExtent l="0" t="0" r="0" b="0"/>
            <wp:docPr id="11" name="Рисунок 11" descr="М5032,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5032,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3. Визначаємо час випаровування хлору з поверхні при вільному розливі: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3975100" cy="647700"/>
            <wp:effectExtent l="0" t="0" r="6350" b="0"/>
            <wp:docPr id="10" name="Рисунок 10" descr="М5032,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5032,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4. Визначаємо еквіваленту кількість хлору у вторинній хмарі (Q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e2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). Оскільки N&lt;T, то </w:t>
      </w: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1835150" cy="342900"/>
            <wp:effectExtent l="0" t="0" r="0" b="0"/>
            <wp:docPr id="9" name="Рисунок 9" descr="М5032,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5032,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center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438150"/>
            <wp:effectExtent l="0" t="0" r="0" b="0"/>
            <wp:docPr id="8" name="Рисунок 8" descr="М5032, 2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5032, 2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lastRenderedPageBreak/>
        <w:t>5. Маючи величину Q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e1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= 0,8m, за додатком 2.2 знаходимо глибину зони зараження первинною хмарою. Оскільки для маси 0,8 т даних немає, то значення Г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1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знаходимо інтерполяцією: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552450"/>
            <wp:effectExtent l="0" t="0" r="0" b="0"/>
            <wp:docPr id="7" name="Рисунок 7" descr="М5032,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5032,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6. Маючи величину Q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e2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= 14,3m за додатком 2.2 знаходимо глибину зони зараження вторинною хмарою. Оскільки для маси 14,3 т даних також немає, то для знаходження Г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2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знову використовуємо інтерполяцію: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bookmarkStart w:id="0" w:name="_GoBack"/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2598057" cy="406400"/>
            <wp:effectExtent l="0" t="0" r="0" b="0"/>
            <wp:docPr id="6" name="Рисунок 6" descr="М5032,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5032,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02" cy="40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7. Знаходимо повну глибину зони зараження: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216760"/>
            <wp:effectExtent l="0" t="0" r="0" b="0"/>
            <wp:docPr id="5" name="Рисунок 5" descr="М5032,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5032,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2" cy="22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Одержаний результат порівнюємо з максимально можливим значенням глибини переносу повітряних мас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Г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n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 на даний час, яке визначаємо за формулою: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Г</w:t>
      </w:r>
      <w:r w:rsidRPr="0011320A">
        <w:rPr>
          <w:rFonts w:ascii="rr" w:eastAsia="Times New Roman" w:hAnsi="rr" w:cs="Times New Roman"/>
          <w:sz w:val="18"/>
          <w:szCs w:val="18"/>
          <w:vertAlign w:val="subscript"/>
          <w:lang w:val="uk-UA" w:eastAsia="ru-RU"/>
        </w:rPr>
        <w:t>n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= t * V = 1,0 * 12 = 12 км. Остаточно розрахунковою глибиною зони зараження слід вважати менше із двох порівнюваних між собою значень, тобто в даному випадку – це 12 км.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8. Визначаємо площу зони хімічного зараження: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2159000" cy="431800"/>
            <wp:effectExtent l="0" t="0" r="0" b="6350"/>
            <wp:docPr id="4" name="Рисунок 4" descr="М5032,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5032,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9. Визначаємо час підходу зараженого повітря від ХНО до об’єкта харчової промисловості: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1729547" cy="425450"/>
            <wp:effectExtent l="0" t="0" r="4445" b="0"/>
            <wp:docPr id="3" name="Рисунок 3" descr="М5032,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5032,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93" cy="43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10. З додатку 2.6 знаходимо, що при забезпеченості протигазами 90% на відкритій місцевості втрати персоналу становитимуть 18%, тобто: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noProof/>
          <w:sz w:val="24"/>
          <w:szCs w:val="24"/>
          <w:lang w:eastAsia="ru-RU"/>
        </w:rPr>
        <w:drawing>
          <wp:inline distT="0" distB="0" distL="0" distR="0">
            <wp:extent cx="1372842" cy="412750"/>
            <wp:effectExtent l="0" t="0" r="0" b="6350"/>
            <wp:docPr id="2" name="Рисунок 2" descr="М5032,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5032,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60" cy="4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br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із них смертельних уражень зазнають 14 * 0,35 = 5 осіб, уражень середнього і важкого ступеня – 14 * 0,4 = 6 осіб, уражень легкого ступеня – 14 * 0,25 = 3 особи (див. примітку до додатку 2.6).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1) повна глибина зони зараження становить до 12 км;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2) площа зони зараження – 113 км</w:t>
      </w:r>
      <w:r w:rsidRPr="0011320A">
        <w:rPr>
          <w:rFonts w:ascii="rr" w:eastAsia="Times New Roman" w:hAnsi="rr" w:cs="Times New Roman"/>
          <w:sz w:val="18"/>
          <w:szCs w:val="18"/>
          <w:vertAlign w:val="superscript"/>
          <w:lang w:val="uk-UA" w:eastAsia="ru-RU"/>
        </w:rPr>
        <w:t>2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3) хмара з вражаючою концентрацією СДОР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підійде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до підприємства харчової промисловості приблизно за 35 хв;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4) тривалість вражаючої дії хлору в зоні зараження – до 70 хв.</w:t>
      </w:r>
      <w:r w:rsidRPr="0011320A">
        <w:rPr>
          <w:rFonts w:ascii="rr" w:eastAsia="Times New Roman" w:hAnsi="rr" w:cs="Times New Roman"/>
          <w:i/>
          <w:iCs/>
          <w:sz w:val="24"/>
          <w:szCs w:val="24"/>
          <w:lang w:val="uk-UA" w:eastAsia="ru-RU"/>
        </w:rPr>
        <w:t> 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outlineLvl w:val="2"/>
        <w:rPr>
          <w:rFonts w:ascii="rr" w:eastAsia="Times New Roman" w:hAnsi="rr" w:cs="Times New Roman"/>
          <w:sz w:val="27"/>
          <w:szCs w:val="27"/>
          <w:lang w:val="uk-UA" w:eastAsia="ru-RU"/>
        </w:rPr>
      </w:pPr>
      <w:r w:rsidRPr="0011320A">
        <w:rPr>
          <w:rFonts w:ascii="rb" w:eastAsia="Times New Roman" w:hAnsi="rb" w:cs="Times New Roman"/>
          <w:i/>
          <w:iCs/>
          <w:sz w:val="24"/>
          <w:szCs w:val="24"/>
          <w:lang w:val="uk-UA" w:eastAsia="ru-RU"/>
        </w:rPr>
        <w:t>2.3. Додатки до завдання 2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2.1. Визначення ступеня вертикальної стійкості атмосфери за даними прогнозу погоди</w:t>
      </w:r>
    </w:p>
    <w:tbl>
      <w:tblPr>
        <w:tblW w:w="79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11320A" w:rsidRPr="0011320A" w:rsidTr="0011320A">
        <w:trPr>
          <w:jc w:val="center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Швидкість вітру, м/с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sz w:val="16"/>
                <w:szCs w:val="16"/>
                <w:lang w:val="uk-UA" w:eastAsia="ru-RU"/>
              </w:rPr>
              <w:t>Ніч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sz w:val="16"/>
                <w:szCs w:val="16"/>
                <w:lang w:val="uk-UA" w:eastAsia="ru-RU"/>
              </w:rPr>
              <w:t>Ранок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sz w:val="16"/>
                <w:szCs w:val="16"/>
                <w:lang w:val="uk-UA" w:eastAsia="ru-RU"/>
              </w:rPr>
              <w:t>День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sz w:val="16"/>
                <w:szCs w:val="16"/>
                <w:lang w:val="uk-UA" w:eastAsia="ru-RU"/>
              </w:rPr>
              <w:t>Вечір</w:t>
            </w:r>
          </w:p>
        </w:tc>
      </w:tr>
      <w:tr w:rsidR="0011320A" w:rsidRPr="0011320A" w:rsidTr="0011320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змінна хмарність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суцільна хмарність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змінна хмарність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суцільна хмарність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змінна хмарність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суцільна хмарність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змінна хмарність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суцільна хмарність</w:t>
            </w:r>
          </w:p>
        </w:tc>
      </w:tr>
      <w:tr w:rsidR="0011320A" w:rsidRPr="0011320A" w:rsidTr="0011320A">
        <w:trPr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&lt; 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 (Ін)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 (Із)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</w:tr>
      <w:tr w:rsidR="0011320A" w:rsidRPr="0011320A" w:rsidTr="0011320A">
        <w:trPr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2-3,9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 (Ін)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 (Ін)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</w:tr>
      <w:tr w:rsidR="0011320A" w:rsidRPr="0011320A" w:rsidTr="0011320A">
        <w:trPr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&gt; 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</w:t>
            </w:r>
          </w:p>
        </w:tc>
      </w:tr>
    </w:tbl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Примітка.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u w:val="single"/>
          <w:lang w:val="uk-UA" w:eastAsia="ru-RU"/>
        </w:rPr>
        <w:t>Інверсія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– (нижні шари повітря холодніші за верхні) виникає при ясній погоді, малих швидкостях вітру (до 4 м/с). Перешкоджає розсіюванню повітря по висоті і створює сприятливі умови для зберігання високих концентрацій СДОР.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u w:val="single"/>
          <w:lang w:val="uk-UA" w:eastAsia="ru-RU"/>
        </w:rPr>
        <w:t>Ізотермія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– (температура повітря в межах 20-30 м від земної поверхні майже однакова) зазвичай спостерігається в хмарну погоду і при сніговому покрові. Ізотермія сприяє тривалому застою парів СДОР на місцевості.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u w:val="single"/>
          <w:lang w:val="uk-UA" w:eastAsia="ru-RU"/>
        </w:rPr>
        <w:t>Конвекція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 – (нижній шар повітря нагрітий сильніше за верхній і відбувається переміщення його по вертикалі) виникає при ясній погоді, малих (до 4 м/с) швидкостях вітру. Конвекція розсіює хмару, заражену СДОР, знижує її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уражаючу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дію.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2.2. Глибина зон можливого зараження СДОР, км</w:t>
      </w:r>
    </w:p>
    <w:tbl>
      <w:tblPr>
        <w:tblW w:w="79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400"/>
        <w:gridCol w:w="400"/>
        <w:gridCol w:w="400"/>
        <w:gridCol w:w="400"/>
        <w:gridCol w:w="400"/>
        <w:gridCol w:w="400"/>
        <w:gridCol w:w="470"/>
        <w:gridCol w:w="470"/>
        <w:gridCol w:w="470"/>
        <w:gridCol w:w="470"/>
        <w:gridCol w:w="470"/>
        <w:gridCol w:w="470"/>
        <w:gridCol w:w="470"/>
        <w:gridCol w:w="540"/>
        <w:gridCol w:w="540"/>
        <w:gridCol w:w="470"/>
        <w:gridCol w:w="470"/>
        <w:gridCol w:w="470"/>
      </w:tblGrid>
      <w:tr w:rsidR="0011320A" w:rsidRPr="0011320A" w:rsidTr="0011320A">
        <w:trPr>
          <w:jc w:val="center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Швидкість вітру, м/с</w:t>
            </w:r>
          </w:p>
        </w:tc>
        <w:tc>
          <w:tcPr>
            <w:tcW w:w="44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Еквівалентна кількість СДОР, т</w:t>
            </w:r>
          </w:p>
        </w:tc>
      </w:tr>
      <w:tr w:rsidR="0011320A" w:rsidRPr="0011320A" w:rsidTr="0011320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0,01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0,05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300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500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700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1000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2000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≤ 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0,85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1,25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4,75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9,18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12,53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19,20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29,56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38,13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52,67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65,23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81,91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166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231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288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363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572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1.5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0,72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1,04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2,59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3,80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7,26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9,86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15,02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23,00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29,58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40,70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50,29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63,00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126,90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176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476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434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0,26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0,59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0,84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1,92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2,84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5,35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7,20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10,83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16,44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21,02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28,73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35,35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44,09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87,79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150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189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295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0,54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0,76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1,72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2,50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4,67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6,27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9,40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14,19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18,10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24,66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30,28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37,70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74,63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102,75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127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160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298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0,48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0,68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1,53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2,17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3,99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5,34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7,96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11,94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15,18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20,59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25,21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31,30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61,47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84,50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130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202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0,20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0,45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0,64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1,43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2,02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3,64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4,85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7,21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10,78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13,68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18,51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22,63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28,05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54,82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75,21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92,58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116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180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0,42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0,59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1,33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1,88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3,28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4,36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6,46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9,62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12,18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16,43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20,05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24,80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48,18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65,92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81,17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157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0,40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0,56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1,26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1,78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3,04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4,06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6,00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8,90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11,26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15,16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18,47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22,81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44,14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60,30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74,16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92,30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143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0,53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1,19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1,68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2,91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3,75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5,53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8,19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10,33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13,88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16,89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20,82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40,11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54,67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67,15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83,60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129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0,48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1,09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1,53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2,66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3,43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4,48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7,20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9,06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12,14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14,79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18,13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34,67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47,09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56,72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71,70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110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0,45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1,00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1,42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2,46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4,49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6,48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8,14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10,87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13,17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16,17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30,73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41,63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50,93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63,16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96,30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0,42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0,94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1,33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2,30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2,97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5,92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7,42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9,90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11,98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14,68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27,75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37,49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45,79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56,70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86,20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0,28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0,40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0,88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1,25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2,80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3,96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5,60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6,86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9,12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11,03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13,50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25,39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34,24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41,76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51,60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78,30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0,26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0,84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1,19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2,06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2,66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3,76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5,31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6,50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8,50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10,23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12,54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23,49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31,61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38,50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47,53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71,90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0,25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0,80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1,96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2,53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3,58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5,06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6,20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8,01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9,61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11,74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21,91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29,44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35,81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44,15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66,62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0,76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1,08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1,88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2,42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3,43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4,85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5,94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7,67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9,07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11,06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20,58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27,61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35,55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41,30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62,20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0,74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1,04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1,80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2,37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3,29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4,66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5,70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7,37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8,72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10,48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19,45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26,04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31,62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38,90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58,44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0,71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1,00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1,74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2,24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4,49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5,50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7,10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8,40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10,04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18,46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24,69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29,95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36,81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55,20</w:t>
            </w:r>
          </w:p>
        </w:tc>
      </w:tr>
      <w:tr w:rsidR="0011320A" w:rsidRPr="0011320A" w:rsidTr="0011320A"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≥15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0,31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0,69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0,97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1,68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2,17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3,07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4,34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5,31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6,86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8,11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9,70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17,60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23,50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28,48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34,98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52,37</w:t>
            </w:r>
          </w:p>
        </w:tc>
      </w:tr>
    </w:tbl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Примітка.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Для визначення показників необхідних величин, яких немає в таблиці, необхідно провести інтерполяцію між двома ближніми величинами.</w:t>
      </w:r>
    </w:p>
    <w:p w:rsidR="0096521F" w:rsidRDefault="0096521F">
      <w:pPr>
        <w:rPr>
          <w:rFonts w:ascii="rb" w:eastAsia="Times New Roman" w:hAnsi="rb" w:cs="Times New Roman"/>
          <w:sz w:val="24"/>
          <w:szCs w:val="24"/>
          <w:lang w:val="uk-UA" w:eastAsia="ru-RU"/>
        </w:rPr>
      </w:pPr>
      <w:r>
        <w:rPr>
          <w:rFonts w:ascii="rb" w:eastAsia="Times New Roman" w:hAnsi="rb" w:cs="Times New Roman"/>
          <w:sz w:val="24"/>
          <w:szCs w:val="24"/>
          <w:lang w:val="uk-UA" w:eastAsia="ru-RU"/>
        </w:rPr>
        <w:br w:type="page"/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lastRenderedPageBreak/>
        <w:t>2.3. Характеристика СДОР і допоміжні коефіцієнти для визначення глибини зараження</w:t>
      </w:r>
    </w:p>
    <w:tbl>
      <w:tblPr>
        <w:tblW w:w="8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975"/>
        <w:gridCol w:w="623"/>
        <w:gridCol w:w="632"/>
        <w:gridCol w:w="1062"/>
        <w:gridCol w:w="912"/>
        <w:gridCol w:w="463"/>
        <w:gridCol w:w="543"/>
        <w:gridCol w:w="543"/>
        <w:gridCol w:w="508"/>
        <w:gridCol w:w="508"/>
        <w:gridCol w:w="508"/>
        <w:gridCol w:w="434"/>
        <w:gridCol w:w="508"/>
      </w:tblGrid>
      <w:tr w:rsidR="0011320A" w:rsidRPr="0011320A" w:rsidTr="0011320A">
        <w:trPr>
          <w:jc w:val="center"/>
        </w:trPr>
        <w:tc>
          <w:tcPr>
            <w:tcW w:w="11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Назва СДОР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Густина, т/м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Температура</w:t>
            </w:r>
          </w:p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кипіння, ºС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Поріг</w:t>
            </w:r>
          </w:p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токсодози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</w:t>
            </w:r>
          </w:p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мг хв./л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Значення коефіцієнтів</w:t>
            </w:r>
          </w:p>
        </w:tc>
      </w:tr>
      <w:tr w:rsidR="0011320A" w:rsidRPr="0011320A" w:rsidTr="0011320A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газ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рідина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 w:eastAsia="ru-RU"/>
              </w:rPr>
              <w:t>1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 w:eastAsia="ru-RU"/>
              </w:rPr>
              <w:t>2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 w:eastAsia="ru-RU"/>
              </w:rPr>
              <w:t>3</w:t>
            </w:r>
          </w:p>
        </w:tc>
        <w:tc>
          <w:tcPr>
            <w:tcW w:w="1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 w:eastAsia="ru-RU"/>
              </w:rPr>
              <w:t>7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 для температури повітря, ºС</w:t>
            </w:r>
          </w:p>
        </w:tc>
      </w:tr>
      <w:tr w:rsidR="0011320A" w:rsidRPr="0011320A" w:rsidTr="0011320A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-40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+40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Аміак</w:t>
            </w:r>
          </w:p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зберігання під тиском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0,0008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0,681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- 33,42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0,025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0/0,9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0,3/1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0,6/1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1,4/1</w:t>
            </w:r>
          </w:p>
        </w:tc>
      </w:tr>
      <w:tr w:rsidR="0011320A" w:rsidRPr="0011320A" w:rsidTr="0011320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ізотермічне зберігання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0,681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- 33,42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0,025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0/0,9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</w:tr>
      <w:tr w:rsidR="0011320A" w:rsidRPr="0011320A" w:rsidTr="0011320A">
        <w:trPr>
          <w:jc w:val="center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Водень хлористий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0,0016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1,191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-85,10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0,28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0,037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0,30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0,4/1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0,6/1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0,8/1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1,2/1</w:t>
            </w:r>
          </w:p>
        </w:tc>
      </w:tr>
      <w:tr w:rsidR="0011320A" w:rsidRPr="0011320A" w:rsidTr="0011320A">
        <w:trPr>
          <w:jc w:val="center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Сірчаний ангідрид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0,0029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1,462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-10,1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0,11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0,049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0,333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0/0,2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0/0,5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0,3/1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1,7/1</w:t>
            </w:r>
          </w:p>
        </w:tc>
      </w:tr>
      <w:tr w:rsidR="0011320A" w:rsidRPr="0011320A" w:rsidTr="0011320A">
        <w:trPr>
          <w:jc w:val="center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Сірководень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0,0015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0,964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-60,35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16,1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0,27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0,042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0,036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0,3/1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0,8/1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1,2/1</w:t>
            </w:r>
          </w:p>
        </w:tc>
      </w:tr>
      <w:tr w:rsidR="0011320A" w:rsidRPr="0011320A" w:rsidTr="0011320A">
        <w:trPr>
          <w:jc w:val="center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Соляна кислота (</w:t>
            </w: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конц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.)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1,198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0,30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1,6</w:t>
            </w:r>
          </w:p>
        </w:tc>
      </w:tr>
      <w:tr w:rsidR="0011320A" w:rsidRPr="0011320A" w:rsidTr="0011320A">
        <w:trPr>
          <w:jc w:val="center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Формальдегід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0,815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-19,0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0,034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0/0,4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0,5/1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1,5/1</w:t>
            </w:r>
          </w:p>
        </w:tc>
      </w:tr>
      <w:tr w:rsidR="0011320A" w:rsidRPr="0011320A" w:rsidTr="0011320A">
        <w:trPr>
          <w:jc w:val="center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Фосген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0,0035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1,432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8,2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0,061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0/0,1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0/0,3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0/0,7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2,7/1</w:t>
            </w:r>
          </w:p>
        </w:tc>
      </w:tr>
      <w:tr w:rsidR="0011320A" w:rsidRPr="0011320A" w:rsidTr="0011320A">
        <w:trPr>
          <w:jc w:val="center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Фтор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0,0017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1,512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-188,2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0,2*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0,95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0,038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3,0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0,7/1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0,8/1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0,9/1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1,1/1</w:t>
            </w:r>
          </w:p>
        </w:tc>
      </w:tr>
      <w:tr w:rsidR="0011320A" w:rsidRPr="0011320A" w:rsidTr="0011320A">
        <w:trPr>
          <w:jc w:val="center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Хлор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0,0032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1,553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-34,1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0,052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0/0,9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0,3/1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0,6/1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1,4/1</w:t>
            </w:r>
          </w:p>
        </w:tc>
      </w:tr>
    </w:tbl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Примітки: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1. Густина газоподібних СДОР наведена для атмосферного тиску; при тиску в ємності, що відрізняється від атмосферного, густина визначається шляхом множення даних графи для газу на значення тиску в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т.сфера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 xml:space="preserve"> (1атм. Дорівнює 760 мм </w:t>
      </w:r>
      <w:proofErr w:type="spellStart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рт</w:t>
      </w:r>
      <w:proofErr w:type="spellEnd"/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. ст.).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2. Значення </w:t>
      </w: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К</w:t>
      </w:r>
      <w:r w:rsidRPr="0011320A">
        <w:rPr>
          <w:rFonts w:ascii="rb" w:eastAsia="Times New Roman" w:hAnsi="rb" w:cs="Times New Roman"/>
          <w:sz w:val="18"/>
          <w:szCs w:val="18"/>
          <w:vertAlign w:val="subscript"/>
          <w:lang w:val="uk-UA" w:eastAsia="ru-RU"/>
        </w:rPr>
        <w:t>1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для ізотермічного зберігання аміаку наведено для випадку виливу (викиду) в піддон.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3. Значення </w:t>
      </w: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К</w:t>
      </w:r>
      <w:r w:rsidRPr="0011320A">
        <w:rPr>
          <w:rFonts w:ascii="rb" w:eastAsia="Times New Roman" w:hAnsi="rb" w:cs="Times New Roman"/>
          <w:sz w:val="18"/>
          <w:szCs w:val="18"/>
          <w:vertAlign w:val="subscript"/>
          <w:lang w:val="uk-UA" w:eastAsia="ru-RU"/>
        </w:rPr>
        <w:t>7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наведені для використання при розрахунках: в чисельнику – для первинної хмари; в знаменнику – для вторинної хмари.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2.4. Значення коефіцієнта К</w:t>
      </w:r>
      <w:r w:rsidRPr="0011320A">
        <w:rPr>
          <w:rFonts w:ascii="rb" w:eastAsia="Times New Roman" w:hAnsi="rb" w:cs="Times New Roman"/>
          <w:sz w:val="18"/>
          <w:szCs w:val="18"/>
          <w:vertAlign w:val="subscript"/>
          <w:lang w:val="uk-UA" w:eastAsia="ru-RU"/>
        </w:rPr>
        <w:t>4</w:t>
      </w: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 в залежності від швидкості вітру</w:t>
      </w:r>
    </w:p>
    <w:tbl>
      <w:tblPr>
        <w:tblW w:w="8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360"/>
        <w:gridCol w:w="660"/>
        <w:gridCol w:w="660"/>
        <w:gridCol w:w="660"/>
        <w:gridCol w:w="540"/>
        <w:gridCol w:w="660"/>
        <w:gridCol w:w="660"/>
        <w:gridCol w:w="540"/>
        <w:gridCol w:w="660"/>
        <w:gridCol w:w="660"/>
        <w:gridCol w:w="540"/>
        <w:gridCol w:w="660"/>
      </w:tblGrid>
      <w:tr w:rsidR="0011320A" w:rsidRPr="0011320A" w:rsidTr="0011320A">
        <w:trPr>
          <w:jc w:val="center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Швидкість вітру, м/</w:t>
            </w:r>
            <w:proofErr w:type="spellStart"/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</w:t>
            </w:r>
            <w:proofErr w:type="spellEnd"/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11320A" w:rsidRPr="0011320A" w:rsidTr="0011320A">
        <w:trPr>
          <w:jc w:val="center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К</w:t>
            </w:r>
            <w:r w:rsidRPr="0011320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uk-UA" w:eastAsia="ru-RU"/>
              </w:rPr>
              <w:t>4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1,18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1,33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1,67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2,34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2,67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3,34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5,68</w:t>
            </w:r>
          </w:p>
        </w:tc>
      </w:tr>
    </w:tbl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2.5. Залежність швидкості перенесення переднього фронту хмари зараженого повітря від швидкості вітру (км/год)</w:t>
      </w:r>
    </w:p>
    <w:tbl>
      <w:tblPr>
        <w:tblW w:w="8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436"/>
        <w:gridCol w:w="611"/>
        <w:gridCol w:w="611"/>
        <w:gridCol w:w="611"/>
        <w:gridCol w:w="611"/>
        <w:gridCol w:w="611"/>
        <w:gridCol w:w="611"/>
        <w:gridCol w:w="611"/>
        <w:gridCol w:w="611"/>
        <w:gridCol w:w="785"/>
      </w:tblGrid>
      <w:tr w:rsidR="0011320A" w:rsidRPr="0011320A" w:rsidTr="0011320A">
        <w:trPr>
          <w:jc w:val="center"/>
        </w:trPr>
        <w:tc>
          <w:tcPr>
            <w:tcW w:w="1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атмосфери</w:t>
            </w:r>
          </w:p>
        </w:tc>
        <w:tc>
          <w:tcPr>
            <w:tcW w:w="35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Швидкість вітру, м/с</w:t>
            </w:r>
          </w:p>
        </w:tc>
      </w:tr>
      <w:tr w:rsidR="0011320A" w:rsidRPr="0011320A" w:rsidTr="0011320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11320A" w:rsidRPr="0011320A" w:rsidTr="0011320A">
        <w:trPr>
          <w:jc w:val="center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Інверсія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1320A" w:rsidRPr="0011320A" w:rsidTr="0011320A">
        <w:trPr>
          <w:jc w:val="center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Ізотермія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</w:tr>
      <w:tr w:rsidR="0011320A" w:rsidRPr="0011320A" w:rsidTr="0011320A">
        <w:trPr>
          <w:jc w:val="center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Конвекція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96521F" w:rsidRDefault="0096521F" w:rsidP="0011320A">
      <w:pPr>
        <w:shd w:val="clear" w:color="auto" w:fill="FFFFFF"/>
        <w:spacing w:after="0" w:line="240" w:lineRule="auto"/>
        <w:jc w:val="both"/>
        <w:rPr>
          <w:rFonts w:ascii="rb" w:eastAsia="Times New Roman" w:hAnsi="rb" w:cs="Times New Roman"/>
          <w:sz w:val="24"/>
          <w:szCs w:val="24"/>
          <w:lang w:val="uk-UA" w:eastAsia="ru-RU"/>
        </w:rPr>
      </w:pP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lastRenderedPageBreak/>
        <w:t>2.6. Можливі втрати виробничого персоналу і населення від СДОР в осередку ураження, %</w:t>
      </w:r>
    </w:p>
    <w:tbl>
      <w:tblPr>
        <w:tblW w:w="85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1322"/>
        <w:gridCol w:w="480"/>
        <w:gridCol w:w="480"/>
        <w:gridCol w:w="480"/>
        <w:gridCol w:w="480"/>
        <w:gridCol w:w="480"/>
        <w:gridCol w:w="480"/>
        <w:gridCol w:w="480"/>
        <w:gridCol w:w="480"/>
        <w:gridCol w:w="600"/>
      </w:tblGrid>
      <w:tr w:rsidR="0011320A" w:rsidRPr="0011320A" w:rsidTr="0011320A">
        <w:trPr>
          <w:jc w:val="center"/>
        </w:trPr>
        <w:tc>
          <w:tcPr>
            <w:tcW w:w="2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перебування людей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протигазів</w:t>
            </w:r>
          </w:p>
        </w:tc>
        <w:tc>
          <w:tcPr>
            <w:tcW w:w="20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Забезпеченість людей протигазами, %</w:t>
            </w:r>
          </w:p>
        </w:tc>
      </w:tr>
      <w:tr w:rsidR="0011320A" w:rsidRPr="0011320A" w:rsidTr="0011320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11320A" w:rsidRPr="0011320A" w:rsidTr="0011320A">
        <w:trPr>
          <w:jc w:val="center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Відкрита місцевість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90-100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11320A" w:rsidRPr="0011320A" w:rsidTr="0011320A">
        <w:trPr>
          <w:jc w:val="center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приміщеннях, найпростіших укриттях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Примітка.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Орієнтовна структура втрат, %: легкого ступеня – 25; середнього та важкого (необхідна госпіталізація) – 40; смертельні ураження – 35.</w:t>
      </w:r>
    </w:p>
    <w:p w:rsidR="0011320A" w:rsidRPr="0011320A" w:rsidRDefault="0011320A" w:rsidP="0011320A">
      <w:pPr>
        <w:shd w:val="clear" w:color="auto" w:fill="FFFFFF"/>
        <w:spacing w:after="0" w:line="240" w:lineRule="auto"/>
        <w:jc w:val="both"/>
        <w:outlineLvl w:val="0"/>
        <w:rPr>
          <w:rFonts w:ascii="rr" w:eastAsia="Times New Roman" w:hAnsi="rr" w:cs="Times New Roman"/>
          <w:kern w:val="36"/>
          <w:sz w:val="48"/>
          <w:szCs w:val="48"/>
          <w:lang w:val="uk-UA" w:eastAsia="ru-RU"/>
        </w:rPr>
      </w:pPr>
      <w:r w:rsidRPr="0011320A">
        <w:rPr>
          <w:rFonts w:ascii="rr" w:eastAsia="Times New Roman" w:hAnsi="rr" w:cs="Times New Roman"/>
          <w:i/>
          <w:iCs/>
          <w:kern w:val="36"/>
          <w:sz w:val="24"/>
          <w:szCs w:val="24"/>
          <w:lang w:val="uk-UA" w:eastAsia="ru-RU"/>
        </w:rPr>
        <w:t>2.4. Вихідні дані для виконання завдання 2</w:t>
      </w:r>
    </w:p>
    <w:tbl>
      <w:tblPr>
        <w:tblW w:w="77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196"/>
        <w:gridCol w:w="881"/>
        <w:gridCol w:w="1315"/>
        <w:gridCol w:w="981"/>
        <w:gridCol w:w="844"/>
        <w:gridCol w:w="1100"/>
        <w:gridCol w:w="819"/>
        <w:gridCol w:w="785"/>
      </w:tblGrid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№ п/п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Тип</w:t>
            </w:r>
          </w:p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СДОР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Кількість СДОР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Метеорологічні умови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Швидкість вітру, м/с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Відстань ХНО до ОНГ, км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Наявність обвалування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Висота піддону, 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Час від початку аварії, год.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Аміак (зберігання під тиском)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Хлор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ніч, 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Водень хлористий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ніч, -20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Сірчаний ангідрид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ніч, -40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Сірководень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день, 20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Соляна кислота (</w:t>
            </w: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конц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2,2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Формальдегід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день, -20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Фосген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Фтор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ніч, 20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Формальдегід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день, 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Фтор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ніч, -40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Фосген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Сірководень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ніч, 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Аміак (ізотермічне зберігання)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ніч, 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2,2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Сірчаний ангідрид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-40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rb" w:eastAsia="Times New Roman" w:hAnsi="rb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Хлор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ніч, -20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Водень хлористий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Соляна кислота (</w:t>
            </w: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конц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день, -20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Фтор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Формальдегід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день, 20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Сірководень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Хлор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Аміак (зберігання під тиском)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день, 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Соляна кислота (</w:t>
            </w: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конц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ніч, 20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Сірчаний ангідрид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Фосген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день, 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Водень хлористий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день, 20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2,5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Хлор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Аміак (ізотермічне зберігання)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Ясно, день, -40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11320A" w:rsidRPr="0011320A" w:rsidTr="0011320A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Сірководень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Хмарно</w:t>
            </w:r>
            <w:proofErr w:type="spellEnd"/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день, 40</w:t>
            </w:r>
            <w:r w:rsidRPr="0011320A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uk-UA" w:eastAsia="ru-RU"/>
              </w:rPr>
              <w:t>0</w:t>
            </w: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320A" w:rsidRPr="0011320A" w:rsidRDefault="0011320A" w:rsidP="001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32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</w:tbl>
    <w:p w:rsidR="0011320A" w:rsidRPr="0011320A" w:rsidRDefault="0011320A" w:rsidP="0011320A">
      <w:pPr>
        <w:shd w:val="clear" w:color="auto" w:fill="FFFFFF"/>
        <w:spacing w:after="0" w:line="240" w:lineRule="auto"/>
        <w:jc w:val="both"/>
        <w:rPr>
          <w:rFonts w:ascii="rr" w:eastAsia="Times New Roman" w:hAnsi="rr" w:cs="Times New Roman"/>
          <w:sz w:val="23"/>
          <w:szCs w:val="23"/>
          <w:lang w:val="uk-UA" w:eastAsia="ru-RU"/>
        </w:rPr>
      </w:pP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Примітка.</w:t>
      </w:r>
      <w:r w:rsidRPr="0011320A">
        <w:rPr>
          <w:rFonts w:ascii="rr" w:eastAsia="Times New Roman" w:hAnsi="rr" w:cs="Times New Roman"/>
          <w:sz w:val="24"/>
          <w:szCs w:val="24"/>
          <w:lang w:val="uk-UA" w:eastAsia="ru-RU"/>
        </w:rPr>
        <w:t> Під час розрахунків всі речовини використовувати у вигляді рідини.</w:t>
      </w:r>
      <w:r w:rsidRPr="0011320A">
        <w:rPr>
          <w:rFonts w:ascii="rb" w:eastAsia="Times New Roman" w:hAnsi="rb" w:cs="Times New Roman"/>
          <w:sz w:val="24"/>
          <w:szCs w:val="24"/>
          <w:lang w:val="uk-UA" w:eastAsia="ru-RU"/>
        </w:rPr>
        <w:t> </w:t>
      </w:r>
    </w:p>
    <w:p w:rsidR="00B76058" w:rsidRPr="0011320A" w:rsidRDefault="00B76058" w:rsidP="0011320A">
      <w:pPr>
        <w:spacing w:after="0" w:line="240" w:lineRule="auto"/>
        <w:rPr>
          <w:lang w:val="uk-UA"/>
        </w:rPr>
      </w:pPr>
    </w:p>
    <w:sectPr w:rsidR="00B76058" w:rsidRPr="0011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r">
    <w:altName w:val="Times New Roman"/>
    <w:panose1 w:val="00000000000000000000"/>
    <w:charset w:val="00"/>
    <w:family w:val="roman"/>
    <w:notTrueType/>
    <w:pitch w:val="default"/>
  </w:font>
  <w:font w:name="r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0A"/>
    <w:rsid w:val="0011320A"/>
    <w:rsid w:val="00525F22"/>
    <w:rsid w:val="0096521F"/>
    <w:rsid w:val="00B76058"/>
    <w:rsid w:val="00B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E4E50-FCEF-4EFC-B5C9-8D66FCE0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3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3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2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1320A"/>
    <w:rPr>
      <w:b/>
      <w:bCs/>
    </w:rPr>
  </w:style>
  <w:style w:type="paragraph" w:styleId="a4">
    <w:name w:val="Normal (Web)"/>
    <w:basedOn w:val="a"/>
    <w:uiPriority w:val="99"/>
    <w:semiHidden/>
    <w:unhideWhenUsed/>
    <w:rsid w:val="0011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32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32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4.jpeg"/><Relationship Id="rId12" Type="http://schemas.openxmlformats.org/officeDocument/2006/relationships/hyperlink" Target="https://ua.kursoviks.com.ua/thumb/2/o0sRL_7nRTd0yXYcrsbazg/r/d/m5032_tablitsya_1_zona_khimichnogo_zarazhennya_zalezhno_vid_shvidkosti_vitru.jpg" TargetMode="External"/><Relationship Id="rId17" Type="http://schemas.openxmlformats.org/officeDocument/2006/relationships/hyperlink" Target="https://ua.kursoviks.com.ua/thumb/2/J_OYKrMYo6-ttyFBd6jGUA/r/d/m5032_24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9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10" Type="http://schemas.openxmlformats.org/officeDocument/2006/relationships/image" Target="media/image7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2023-10-03T20:26:00Z</dcterms:created>
  <dcterms:modified xsi:type="dcterms:W3CDTF">2023-10-04T05:29:00Z</dcterms:modified>
</cp:coreProperties>
</file>