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42" w:rsidRDefault="001E0442" w:rsidP="001C7346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F25DD">
        <w:rPr>
          <w:rFonts w:ascii="Times New Roman" w:hAnsi="Times New Roman" w:cs="Times New Roman"/>
          <w:b/>
          <w:i/>
          <w:sz w:val="28"/>
          <w:szCs w:val="28"/>
        </w:rPr>
        <w:t xml:space="preserve">Лекція </w:t>
      </w:r>
      <w:r w:rsidR="001460FA" w:rsidRPr="001460FA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Pr="006F25D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C7346" w:rsidRPr="001C7346">
        <w:rPr>
          <w:rFonts w:ascii="Times New Roman" w:hAnsi="Times New Roman" w:cs="Times New Roman"/>
          <w:b/>
          <w:i/>
          <w:sz w:val="28"/>
          <w:szCs w:val="28"/>
        </w:rPr>
        <w:t>ПРИНЦИПИ ТА ПРОЦЕДУРИ</w:t>
      </w:r>
      <w:r w:rsidR="001C7346" w:rsidRPr="001C73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uk-UA"/>
        </w:rPr>
        <w:t xml:space="preserve"> </w:t>
      </w:r>
      <w:r w:rsidR="00A11DE2" w:rsidRPr="000D3A38">
        <w:rPr>
          <w:b/>
          <w:i/>
          <w:sz w:val="28"/>
          <w:szCs w:val="28"/>
        </w:rPr>
        <w:t>П</w:t>
      </w:r>
      <w:r w:rsidR="00A11DE2" w:rsidRPr="00A11DE2">
        <w:rPr>
          <w:rFonts w:ascii="Times New Roman" w:hAnsi="Times New Roman" w:cs="Times New Roman"/>
          <w:b/>
          <w:i/>
          <w:sz w:val="28"/>
          <w:szCs w:val="28"/>
        </w:rPr>
        <w:t xml:space="preserve">ОГАШЕННЯ </w:t>
      </w:r>
      <w:r w:rsidR="004115BC" w:rsidRPr="004115BC">
        <w:rPr>
          <w:rFonts w:ascii="Times New Roman" w:hAnsi="Times New Roman" w:cs="Times New Roman"/>
          <w:b/>
          <w:i/>
          <w:sz w:val="28"/>
          <w:szCs w:val="28"/>
        </w:rPr>
        <w:t>ПОДАТКОВОГО БОРГУ</w:t>
      </w:r>
      <w:r w:rsidR="004115BC" w:rsidRPr="00017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15BC" w:rsidRDefault="001E0442" w:rsidP="001C73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F25D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F3FC2">
        <w:rPr>
          <w:rFonts w:ascii="Times New Roman" w:hAnsi="Times New Roman" w:cs="Times New Roman"/>
          <w:b/>
          <w:i/>
          <w:sz w:val="28"/>
          <w:szCs w:val="28"/>
          <w:lang w:val="ru-RU"/>
        </w:rPr>
        <w:t>28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вересня</w:t>
      </w:r>
      <w:proofErr w:type="spellEnd"/>
      <w:r w:rsidRPr="006F25D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C7346" w:rsidRPr="001C7346" w:rsidRDefault="001C7346" w:rsidP="001C73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C7346" w:rsidRPr="001C7346" w:rsidRDefault="001C7346" w:rsidP="001C7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1C73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Джерела та принципи погашення податкового боргу</w:t>
      </w:r>
      <w:r w:rsidRPr="001C73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1C73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платників податків</w:t>
      </w:r>
      <w:r w:rsidRPr="001C73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1C7346" w:rsidRPr="00EF3FC2" w:rsidRDefault="001C7346" w:rsidP="001C7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1C73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Податкова застава та процедура її застосування</w:t>
      </w:r>
      <w:r w:rsidRPr="001C73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Pr="001C73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1C7346" w:rsidRPr="00EF3FC2" w:rsidRDefault="001C7346" w:rsidP="001C7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1C73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3. </w:t>
      </w:r>
      <w:r w:rsidRPr="001C73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Порядок застосування адміністративного арешту майна</w:t>
      </w:r>
      <w:r w:rsidRPr="001C73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1C73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платника податків</w:t>
      </w:r>
      <w:r w:rsidRPr="001C73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1C7346" w:rsidRPr="00EF3FC2" w:rsidRDefault="001C7346" w:rsidP="001C7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1C73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Порядок погашення податкового боргу платників</w:t>
      </w:r>
      <w:r w:rsidRPr="001C73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1C73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податків-юридичних і фізичних осіб</w:t>
      </w:r>
      <w:r w:rsidRPr="001C73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1C7346" w:rsidRPr="001C7346" w:rsidRDefault="001C7346" w:rsidP="001C7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C73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5. </w:t>
      </w:r>
      <w:r w:rsidRPr="001C73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Порядок списання безнадійного податкового боргу</w:t>
      </w:r>
      <w:r w:rsidRPr="001C73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1C73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платників податків</w:t>
      </w:r>
      <w:r w:rsidRPr="001C73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1C7346" w:rsidRPr="001C7346" w:rsidRDefault="001C7346" w:rsidP="00C31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CA7" w:rsidRDefault="003D2CA7" w:rsidP="00017EA6">
      <w:pPr>
        <w:spacing w:after="0" w:line="240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Література:</w:t>
      </w:r>
    </w:p>
    <w:p w:rsidR="003D2CA7" w:rsidRDefault="006F25DD" w:rsidP="00017EA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Податковий кодекс України</w:t>
      </w:r>
      <w:r w:rsidR="001E0442">
        <w:rPr>
          <w:rStyle w:val="fontstyle21"/>
          <w:sz w:val="28"/>
          <w:szCs w:val="28"/>
        </w:rPr>
        <w:t>.</w:t>
      </w:r>
      <w:r w:rsidR="001E0442">
        <w:rPr>
          <w:rStyle w:val="fontstyle21"/>
          <w:sz w:val="28"/>
          <w:szCs w:val="28"/>
          <w:lang w:val="ru-RU"/>
        </w:rPr>
        <w:t xml:space="preserve"> Режим доступу –</w:t>
      </w:r>
      <w:r>
        <w:rPr>
          <w:rStyle w:val="fontstyle21"/>
          <w:sz w:val="28"/>
          <w:szCs w:val="28"/>
        </w:rPr>
        <w:t xml:space="preserve"> </w:t>
      </w:r>
      <w:hyperlink r:id="rId5" w:anchor="Text" w:history="1">
        <w:r w:rsidR="001E0442" w:rsidRPr="00371661">
          <w:rPr>
            <w:rStyle w:val="a5"/>
            <w:rFonts w:ascii="Times New Roman" w:hAnsi="Times New Roman" w:cs="Times New Roman"/>
            <w:sz w:val="28"/>
            <w:szCs w:val="28"/>
          </w:rPr>
          <w:t>https://zakon.rada.gov.ua/laws/show/2755-17#Text</w:t>
        </w:r>
      </w:hyperlink>
      <w:r w:rsidR="001E0442">
        <w:rPr>
          <w:rStyle w:val="fontstyle21"/>
          <w:sz w:val="28"/>
          <w:szCs w:val="28"/>
          <w:lang w:val="ru-RU"/>
        </w:rPr>
        <w:t xml:space="preserve"> </w:t>
      </w:r>
    </w:p>
    <w:p w:rsidR="00F441AF" w:rsidRDefault="001E0442" w:rsidP="00017EA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21"/>
          <w:sz w:val="28"/>
          <w:szCs w:val="28"/>
        </w:rPr>
      </w:pPr>
      <w:r w:rsidRPr="001E0442">
        <w:rPr>
          <w:rStyle w:val="fontstyle21"/>
          <w:sz w:val="28"/>
          <w:szCs w:val="28"/>
        </w:rPr>
        <w:t xml:space="preserve">Адміністрування податків, зборів, платежів: </w:t>
      </w:r>
      <w:proofErr w:type="spellStart"/>
      <w:r w:rsidRPr="001E0442">
        <w:rPr>
          <w:rStyle w:val="fontstyle21"/>
          <w:sz w:val="28"/>
          <w:szCs w:val="28"/>
        </w:rPr>
        <w:t>навч.посіб</w:t>
      </w:r>
      <w:proofErr w:type="spellEnd"/>
      <w:r w:rsidRPr="001E0442">
        <w:rPr>
          <w:rStyle w:val="fontstyle21"/>
          <w:sz w:val="28"/>
          <w:szCs w:val="28"/>
        </w:rPr>
        <w:t xml:space="preserve">. / [В.П. </w:t>
      </w:r>
      <w:proofErr w:type="spellStart"/>
      <w:r w:rsidRPr="001E0442">
        <w:rPr>
          <w:rStyle w:val="fontstyle21"/>
          <w:sz w:val="28"/>
          <w:szCs w:val="28"/>
        </w:rPr>
        <w:t>Хомутенко</w:t>
      </w:r>
      <w:proofErr w:type="spellEnd"/>
      <w:r w:rsidRPr="001E0442">
        <w:rPr>
          <w:rStyle w:val="fontstyle21"/>
          <w:sz w:val="28"/>
          <w:szCs w:val="28"/>
        </w:rPr>
        <w:t xml:space="preserve">, І.С. Луценко, А.В. </w:t>
      </w:r>
      <w:proofErr w:type="spellStart"/>
      <w:r w:rsidRPr="001E0442">
        <w:rPr>
          <w:rStyle w:val="fontstyle21"/>
          <w:sz w:val="28"/>
          <w:szCs w:val="28"/>
        </w:rPr>
        <w:t>Хомутенко</w:t>
      </w:r>
      <w:proofErr w:type="spellEnd"/>
      <w:r w:rsidRPr="001E0442">
        <w:rPr>
          <w:rStyle w:val="fontstyle21"/>
          <w:sz w:val="28"/>
          <w:szCs w:val="28"/>
        </w:rPr>
        <w:t>]; з</w:t>
      </w:r>
      <w:r>
        <w:rPr>
          <w:rStyle w:val="fontstyle21"/>
          <w:sz w:val="28"/>
          <w:szCs w:val="28"/>
        </w:rPr>
        <w:t xml:space="preserve">а </w:t>
      </w:r>
      <w:proofErr w:type="spellStart"/>
      <w:r>
        <w:rPr>
          <w:rStyle w:val="fontstyle21"/>
          <w:sz w:val="28"/>
          <w:szCs w:val="28"/>
        </w:rPr>
        <w:t>заг</w:t>
      </w:r>
      <w:proofErr w:type="spellEnd"/>
      <w:r>
        <w:rPr>
          <w:rStyle w:val="fontstyle21"/>
          <w:sz w:val="28"/>
          <w:szCs w:val="28"/>
        </w:rPr>
        <w:t xml:space="preserve">. ред. В.П. </w:t>
      </w:r>
      <w:proofErr w:type="spellStart"/>
      <w:r>
        <w:rPr>
          <w:rStyle w:val="fontstyle21"/>
          <w:sz w:val="28"/>
          <w:szCs w:val="28"/>
        </w:rPr>
        <w:t>Хомутенко</w:t>
      </w:r>
      <w:proofErr w:type="spellEnd"/>
      <w:r>
        <w:rPr>
          <w:rStyle w:val="fontstyle21"/>
          <w:sz w:val="28"/>
          <w:szCs w:val="28"/>
        </w:rPr>
        <w:t xml:space="preserve">. Одеса: «Атлант», 2015. </w:t>
      </w:r>
      <w:r w:rsidRPr="001E0442">
        <w:rPr>
          <w:rStyle w:val="fontstyle21"/>
          <w:sz w:val="28"/>
          <w:szCs w:val="28"/>
        </w:rPr>
        <w:t>314 с.</w:t>
      </w:r>
      <w:r w:rsidR="004115BC">
        <w:rPr>
          <w:rStyle w:val="fontstyle21"/>
          <w:sz w:val="28"/>
          <w:szCs w:val="28"/>
          <w:lang w:val="ru-RU"/>
        </w:rPr>
        <w:t xml:space="preserve"> (Розділ-1</w:t>
      </w:r>
      <w:r w:rsidR="001C7346">
        <w:rPr>
          <w:rStyle w:val="fontstyle21"/>
          <w:sz w:val="28"/>
          <w:szCs w:val="28"/>
          <w:lang w:val="en-US"/>
        </w:rPr>
        <w:t>1</w:t>
      </w:r>
      <w:r>
        <w:rPr>
          <w:rStyle w:val="fontstyle21"/>
          <w:sz w:val="28"/>
          <w:szCs w:val="28"/>
          <w:lang w:val="ru-RU"/>
        </w:rPr>
        <w:t>).</w:t>
      </w:r>
    </w:p>
    <w:p w:rsidR="001E0442" w:rsidRDefault="001E0442" w:rsidP="001E0442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1E0442" w:rsidRDefault="001E0442" w:rsidP="001E04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442">
        <w:rPr>
          <w:rFonts w:ascii="Times New Roman" w:hAnsi="Times New Roman" w:cs="Times New Roman"/>
          <w:i/>
          <w:sz w:val="28"/>
          <w:szCs w:val="28"/>
        </w:rPr>
        <w:t xml:space="preserve">Питання для самоконтролю </w:t>
      </w:r>
    </w:p>
    <w:p w:rsidR="001E0442" w:rsidRPr="001E0442" w:rsidRDefault="001E0442" w:rsidP="001E04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7A3B" w:rsidRPr="00A37A3B" w:rsidRDefault="001C7346" w:rsidP="00A37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Назвіть основні принципи, процедури та джерела</w:t>
      </w:r>
      <w:r w:rsidR="00A37A3B"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погашення податкового боргу платників податків.</w:t>
      </w:r>
    </w:p>
    <w:p w:rsidR="00A37A3B" w:rsidRPr="00EF3FC2" w:rsidRDefault="001C7346" w:rsidP="00A37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Коли виникає право податкової застави?</w:t>
      </w:r>
    </w:p>
    <w:p w:rsidR="00A37A3B" w:rsidRPr="00EF3FC2" w:rsidRDefault="001C7346" w:rsidP="00A37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У яких випадках майно платника податків звільняється з</w:t>
      </w:r>
      <w:r w:rsidR="00A37A3B"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податкової застави?</w:t>
      </w:r>
    </w:p>
    <w:p w:rsidR="001C7346" w:rsidRPr="00EF3FC2" w:rsidRDefault="001C7346" w:rsidP="00A37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Що таке адміністративний арешт майна платника податків?</w:t>
      </w:r>
    </w:p>
    <w:p w:rsidR="001C7346" w:rsidRPr="00EF3FC2" w:rsidRDefault="001C7346" w:rsidP="00A37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Чи може бути застосовано адміністративний арешт коштів</w:t>
      </w:r>
      <w:r w:rsidR="00A37A3B"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рахунку платника податків?</w:t>
      </w:r>
    </w:p>
    <w:p w:rsidR="00A37A3B" w:rsidRPr="00EF3FC2" w:rsidRDefault="00A37A3B" w:rsidP="00A37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Яка передбачена відповідальність, якщо суб’єкт господарювання своєчасно не сплачує розстрочені суми</w:t>
      </w:r>
      <w:r w:rsidRPr="00EF3F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1C7346"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податкового боргу (грошових зобов’язань)?</w:t>
      </w:r>
    </w:p>
    <w:p w:rsidR="00A37A3B" w:rsidRPr="00EF3FC2" w:rsidRDefault="001C7346" w:rsidP="00A37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Чи може бути джерелом погашення податкового боргу</w:t>
      </w:r>
      <w:r w:rsidR="00A37A3B"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депозитні вкладення платника?</w:t>
      </w:r>
    </w:p>
    <w:p w:rsidR="00A37A3B" w:rsidRPr="00EF3FC2" w:rsidRDefault="001C7346" w:rsidP="00A37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Чи може бути джерелом погашення податкового боргу</w:t>
      </w:r>
      <w:r w:rsidR="00A37A3B"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платника податків його дебіторська заборгованість?</w:t>
      </w:r>
    </w:p>
    <w:p w:rsidR="00A37A3B" w:rsidRPr="00EF3FC2" w:rsidRDefault="001C7346" w:rsidP="00A37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Яке майно платника податків може бути джерелами</w:t>
      </w:r>
      <w:r w:rsidR="00A37A3B"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погашення його податкового боргу?</w:t>
      </w:r>
    </w:p>
    <w:p w:rsidR="00A37A3B" w:rsidRPr="00EF3FC2" w:rsidRDefault="001C7346" w:rsidP="00A37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 Що є підставою для звільнення майна платника податків</w:t>
      </w:r>
      <w:r w:rsidR="00A37A3B"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з-під податкової застави?</w:t>
      </w:r>
    </w:p>
    <w:p w:rsidR="00A37A3B" w:rsidRPr="00EF3FC2" w:rsidRDefault="001C7346" w:rsidP="00A37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 Яка передбачена процедура застосування податкової</w:t>
      </w:r>
      <w:r w:rsidR="00A37A3B"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застави?</w:t>
      </w:r>
    </w:p>
    <w:p w:rsidR="00A37A3B" w:rsidRPr="00EF3FC2" w:rsidRDefault="001C7346" w:rsidP="00A37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 У чому полягають особливості стягнення податкового</w:t>
      </w:r>
      <w:r w:rsidR="00A37A3B"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боргу платників податків-фізичних осіб?</w:t>
      </w:r>
    </w:p>
    <w:p w:rsidR="00A37A3B" w:rsidRPr="00A37A3B" w:rsidRDefault="001C7346" w:rsidP="00A37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A37A3B"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3</w:t>
      </w:r>
      <w:r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У чому полягає процедура застосування адміністративного</w:t>
      </w:r>
      <w:r w:rsidR="00A37A3B"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арешту майна?</w:t>
      </w:r>
    </w:p>
    <w:p w:rsidR="001E0442" w:rsidRPr="00A37A3B" w:rsidRDefault="001C7346" w:rsidP="00A37A3B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A37A3B"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4</w:t>
      </w:r>
      <w:r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Які документи надаються заявником для проведення</w:t>
      </w:r>
      <w:r w:rsidR="00A37A3B"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Торгово-промисловою палатою України дослідження і</w:t>
      </w:r>
      <w:r w:rsidR="00A37A3B"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встановлення впливу форс-мажорних обставин на виникнення</w:t>
      </w:r>
      <w:r w:rsidR="00A37A3B"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A37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безнадійного податкового боргу платників податків?</w:t>
      </w:r>
    </w:p>
    <w:sectPr w:rsidR="001E0442" w:rsidRPr="00A37A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4FF2"/>
    <w:multiLevelType w:val="hybridMultilevel"/>
    <w:tmpl w:val="F1CA8C1E"/>
    <w:lvl w:ilvl="0" w:tplc="A0C67BE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A7"/>
    <w:rsid w:val="00017EA6"/>
    <w:rsid w:val="000E4D71"/>
    <w:rsid w:val="001460FA"/>
    <w:rsid w:val="001C7346"/>
    <w:rsid w:val="001E0442"/>
    <w:rsid w:val="003D2CA7"/>
    <w:rsid w:val="004115BC"/>
    <w:rsid w:val="006F25DD"/>
    <w:rsid w:val="007019E2"/>
    <w:rsid w:val="00847F61"/>
    <w:rsid w:val="0086159B"/>
    <w:rsid w:val="00A11DE2"/>
    <w:rsid w:val="00A37A3B"/>
    <w:rsid w:val="00C02770"/>
    <w:rsid w:val="00C31BD1"/>
    <w:rsid w:val="00EF3FC2"/>
    <w:rsid w:val="00F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E9C3"/>
  <w15:docId w15:val="{DD683045-B248-4023-AFE4-417A82F0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2CA7"/>
    <w:pPr>
      <w:ind w:left="720"/>
      <w:contextualSpacing/>
    </w:pPr>
  </w:style>
  <w:style w:type="character" w:customStyle="1" w:styleId="fontstyle21">
    <w:name w:val="fontstyle21"/>
    <w:basedOn w:val="a0"/>
    <w:rsid w:val="003D2CA7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a4">
    <w:name w:val="Знак Знак Знак"/>
    <w:basedOn w:val="a"/>
    <w:rsid w:val="006F25DD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2">
    <w:name w:val="Body Text Indent 2"/>
    <w:basedOn w:val="a"/>
    <w:link w:val="20"/>
    <w:rsid w:val="006F25DD"/>
    <w:pPr>
      <w:shd w:val="clear" w:color="auto" w:fill="FFFFFF"/>
      <w:tabs>
        <w:tab w:val="left" w:pos="6835"/>
      </w:tabs>
      <w:spacing w:after="0" w:line="288" w:lineRule="auto"/>
      <w:ind w:left="10" w:firstLine="720"/>
      <w:jc w:val="both"/>
    </w:pPr>
    <w:rPr>
      <w:rFonts w:ascii="Times New Roman" w:eastAsia="Times New Roman" w:hAnsi="Times New Roman" w:cs="Times New Roman"/>
      <w:color w:val="000000"/>
      <w:spacing w:val="-16"/>
      <w:sz w:val="28"/>
      <w:szCs w:val="27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25DD"/>
    <w:rPr>
      <w:rFonts w:ascii="Times New Roman" w:eastAsia="Times New Roman" w:hAnsi="Times New Roman" w:cs="Times New Roman"/>
      <w:color w:val="000000"/>
      <w:spacing w:val="-16"/>
      <w:sz w:val="28"/>
      <w:szCs w:val="27"/>
      <w:shd w:val="clear" w:color="auto" w:fill="FFFFFF"/>
      <w:lang w:eastAsia="ru-RU"/>
    </w:rPr>
  </w:style>
  <w:style w:type="character" w:styleId="a5">
    <w:name w:val="Hyperlink"/>
    <w:basedOn w:val="a0"/>
    <w:uiPriority w:val="99"/>
    <w:unhideWhenUsed/>
    <w:rsid w:val="001E0442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1C7346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55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VINGA</cp:lastModifiedBy>
  <cp:revision>2</cp:revision>
  <dcterms:created xsi:type="dcterms:W3CDTF">2023-09-28T05:05:00Z</dcterms:created>
  <dcterms:modified xsi:type="dcterms:W3CDTF">2023-09-28T05:05:00Z</dcterms:modified>
</cp:coreProperties>
</file>