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A033" w14:textId="03178508" w:rsidR="00F70FC2" w:rsidRDefault="00F70FC2" w:rsidP="00F70FC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0F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Розрахунок розподілу повітря</w:t>
      </w:r>
    </w:p>
    <w:p w14:paraId="031D117D" w14:textId="13FA428A" w:rsidR="00B54EFC" w:rsidRDefault="00B54EFC" w:rsidP="00B54E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EFC">
        <w:rPr>
          <w:rFonts w:ascii="Times New Roman" w:hAnsi="Times New Roman" w:cs="Times New Roman"/>
          <w:sz w:val="24"/>
          <w:szCs w:val="24"/>
          <w:lang w:val="uk-UA"/>
        </w:rPr>
        <w:t xml:space="preserve">Повітрообмін у приміщенні – це зміна повітряних мас у кімнатах, що враховує </w:t>
      </w:r>
      <w:r w:rsidR="0023040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B54EFC">
        <w:rPr>
          <w:rFonts w:ascii="Times New Roman" w:hAnsi="Times New Roman" w:cs="Times New Roman"/>
          <w:sz w:val="24"/>
          <w:szCs w:val="24"/>
          <w:lang w:val="uk-UA"/>
        </w:rPr>
        <w:t>фактори: підтримання оптимального рівня CO2 та видалення запахів, а також вологи. Нормативний повітрообмін враховує певну кількість припливного повітря для заміщення відпрацьованого. Створення якісного обміну повітря є необхідним для підтримки нормованих показників у житлі. Розрахувавши оптимальний обмін повітря для житла, ви відразу дізнаєтеся про потрібну потужність вентиляційної системи, що надалі допоможе підібрати обладнання.</w:t>
      </w:r>
    </w:p>
    <w:p w14:paraId="1D036715" w14:textId="0880292C" w:rsidR="00B54EFC" w:rsidRDefault="00B54EFC" w:rsidP="00B54E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EFC">
        <w:rPr>
          <w:rFonts w:ascii="Times New Roman" w:hAnsi="Times New Roman" w:cs="Times New Roman"/>
          <w:sz w:val="24"/>
          <w:szCs w:val="24"/>
          <w:lang w:val="uk-UA"/>
        </w:rPr>
        <w:t>Кратність повітрообміну – це показник, що характеризує кількість разів заміщення відпрацьованих повітряних мас на нові в будівлі протягом шістдесяти хвилин. Кратність обміну повітря визначається згідно з призначенням конкретного приміщення. Відповідно, у ДБН (Державних будівельних нормах) наведено число кратності обміну повітря для певного типу будівлі.</w:t>
      </w:r>
    </w:p>
    <w:p w14:paraId="5E694CC8" w14:textId="0406099B" w:rsidR="00B54EFC" w:rsidRDefault="00B54EFC" w:rsidP="00B54E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EFC">
        <w:rPr>
          <w:rFonts w:ascii="Times New Roman" w:hAnsi="Times New Roman" w:cs="Times New Roman"/>
          <w:sz w:val="24"/>
          <w:szCs w:val="24"/>
          <w:lang w:val="uk-UA"/>
        </w:rPr>
        <w:t xml:space="preserve">Норми кратності повітрообміну визначаються залежно від призначень будівель, оскільки будинок чи квартира складаються з різних кімнат, які мають певні вимоги. Нормативні документи необхідні виконання розрахунків, оскільки створення комфортних умов важливо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uk-UA"/>
        </w:rPr>
        <w:t>грамотно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uk-UA"/>
        </w:rPr>
        <w:t xml:space="preserve"> обчислити повітрообмін.</w:t>
      </w:r>
    </w:p>
    <w:p w14:paraId="212F960A" w14:textId="03EC7DC0" w:rsidR="00B54EFC" w:rsidRDefault="00B54EFC" w:rsidP="00B54E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Найчастіше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для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знаходження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числа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вентиляційного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враховують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виділення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шкідливих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або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проводять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дослідження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для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збору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вихідних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даних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будівлі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. У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разі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неможливості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встановлення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особливостей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шкідливих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використовують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розрахункові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формули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для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обміну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відповідно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до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кратності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повітрообміну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620FA02E" w14:textId="78BEBD65" w:rsidR="00B54EFC" w:rsidRPr="00B54EFC" w:rsidRDefault="00B54EFC" w:rsidP="00B54E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Недостатня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кількість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свіжого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дуже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негативно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впливає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на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самопочуття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людини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Якщо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проводити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багато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часу в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задушливому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приміщенні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 людина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зіткнетеся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з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розладом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сну,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втратою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концентрації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та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продуктивності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головним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болем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та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іншими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нездужаннями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6CE2936F" w14:textId="0C80EA78" w:rsidR="00B54EFC" w:rsidRPr="00B54EFC" w:rsidRDefault="00B54EFC" w:rsidP="00B54E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Припливна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вентиляція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–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це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кліматична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система, яка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виконує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функцію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подачі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свіжого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з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вулиці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до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приміщення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. Також,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залежно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від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підібраного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обладнання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, вона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може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здійснювати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фільтрацію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та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нагрівання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Вентиляція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насамперед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відповідає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за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якість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в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приміщенні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. Головне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завдання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системи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–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забезпечити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оптимальну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кількість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повітря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 xml:space="preserve"> для </w:t>
      </w:r>
      <w:proofErr w:type="spellStart"/>
      <w:r w:rsidRPr="00B54EFC">
        <w:rPr>
          <w:rFonts w:ascii="Times New Roman" w:hAnsi="Times New Roman" w:cs="Times New Roman"/>
          <w:sz w:val="24"/>
          <w:szCs w:val="24"/>
          <w:lang w:val="ru-UA"/>
        </w:rPr>
        <w:t>мешканців</w:t>
      </w:r>
      <w:proofErr w:type="spellEnd"/>
      <w:r w:rsidRPr="00B54EFC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5431AC01" w14:textId="0AEB8663" w:rsidR="00F70FC2" w:rsidRPr="002D7C5B" w:rsidRDefault="00F70FC2" w:rsidP="00F70FC2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Отриману кількість підготовленого припливного повітря необхідно рівномірно розподілити по приміщенню, отриману кількість витяжного повітря – зібрати та вивести. </w:t>
      </w:r>
      <w:r w:rsidRPr="002D7C5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Ці процеси необхідно змоделювати так, щоб </w:t>
      </w:r>
      <w:r w:rsidR="00B54EFC" w:rsidRPr="002D7C5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10A0765C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- не було місць, де повітря застоюється й утворюються зони з можливістю накопичення шкідливих факторів, </w:t>
      </w:r>
    </w:p>
    <w:p w14:paraId="76E972A6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-  припливне повітря не утворювало протягів, рухливість повітря в робочій зоні не перевищувало нормативну;</w:t>
      </w:r>
    </w:p>
    <w:p w14:paraId="74E0323A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- температура в зоні впливу припливного струменю не створювала дискомфорту, для цього вводиться  обмеження різниці температур – 3 </w:t>
      </w:r>
      <w:r w:rsidRPr="00F70F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С для «теплого» струменю, 1,5 </w:t>
      </w:r>
      <w:r w:rsidRPr="00F70F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>С – для «холодного»;</w:t>
      </w:r>
    </w:p>
    <w:p w14:paraId="57F3D8E0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- припливний струмінь не порушував роботу місцевої вентиляції;</w:t>
      </w:r>
    </w:p>
    <w:p w14:paraId="40D3E251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- витяжне повітря відводилось від зон, де концентрація шкідливих факторів найбільша.</w:t>
      </w:r>
    </w:p>
    <w:p w14:paraId="1B9E0835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Найбільш розповсюджена схема організації повітрообміну – «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згору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>-вгору» - коли припливне повітря подається в верхню частину приміщення, опускається за рахунок різниці температур, витяжне повітря відводиться від верхньої частини приміщення із зон, де прогнозується накопичення шкідливих факторів.</w:t>
      </w:r>
    </w:p>
    <w:p w14:paraId="18AD975F" w14:textId="37B8398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Рідше зустрічається схема «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згору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>-вгору и вниз» - тоді частина витяжного повітря відводиться з нижньої зони. Ця схема використовується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наприклад для операційних в лікарнях, у гаражах та зварювальних цехах в промисловості, в лабораторіях. Рекомендована кількість повітря, що відводиться з нижньої зони, надається в рекомендаціях щодо організації повітрообміну для кожного типу приміщень.</w:t>
      </w:r>
    </w:p>
    <w:p w14:paraId="5694E13D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Ще рідше застосовується схема «знизу вгору» - коли припливне повітря подається маленькими струминками на робочі місця й відводиться з верхньої частини приміщення. Ця схема дозволяє створювати острівки з покращеними умовами в місцях розташування працівників. </w:t>
      </w:r>
    </w:p>
    <w:p w14:paraId="2891D72D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Для розподілу повітря по приміщенню використовують спеціальні повітророзподільники.</w:t>
      </w:r>
    </w:p>
    <w:p w14:paraId="7DF8900B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Це можуть бути вентиляційні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гратки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, регульовані чи нерегульовані, більш декоративні дифузори, або складні повітророзподільники різних конструкцій.</w:t>
      </w:r>
    </w:p>
    <w:p w14:paraId="43BAE6C3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5048F" wp14:editId="6D6CD8B6">
            <wp:extent cx="1223360" cy="1223360"/>
            <wp:effectExtent l="0" t="0" r="0" b="0"/>
            <wp:docPr id="86" name="Рисунок 86" descr="Решітки однорядні нерегульовані серії ОНГ, ОН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ітки однорядні нерегульовані серії ОНГ, ОН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4" cy="12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70FC2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2AB24" wp14:editId="5E2C42A4">
            <wp:extent cx="2372282" cy="1029224"/>
            <wp:effectExtent l="0" t="0" r="0" b="0"/>
            <wp:docPr id="87" name="Рисунок 87" descr="Однорядні регульовані вентиляційні решітки з демпфером EMT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ядні регульовані вентиляційні решітки з демпфером EMT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29" cy="10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5811E" wp14:editId="6537392F">
            <wp:extent cx="1410370" cy="1410370"/>
            <wp:effectExtent l="0" t="0" r="0" b="0"/>
            <wp:docPr id="89" name="Рисунок 89" descr="Припливно-витяжні анемостати металеві серії ВЕНТС АМ... ВРФ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пливно-витяжні анемостати металеві серії ВЕНТС АМ... ВРФ 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55" cy="14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AEEA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1                                                            2                                                                   3</w:t>
      </w:r>
    </w:p>
    <w:p w14:paraId="7DCA2C4F" w14:textId="77777777" w:rsidR="00F70FC2" w:rsidRPr="00F70FC2" w:rsidRDefault="00F70FC2" w:rsidP="00F70F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99F63" wp14:editId="2A844E3E">
            <wp:extent cx="1612280" cy="1612280"/>
            <wp:effectExtent l="0" t="0" r="0" b="6985"/>
            <wp:docPr id="88" name="Рисунок 88" descr="Дифузори стельові cерії 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узори стельові cерії Д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5" cy="1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A599F" wp14:editId="1D5AA4E5">
            <wp:extent cx="1460780" cy="2054255"/>
            <wp:effectExtent l="0" t="0" r="6350" b="3175"/>
            <wp:docPr id="90" name="Рисунок 90" descr="D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Q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4668"/>
                    <a:stretch/>
                  </pic:blipFill>
                  <pic:spPr bwMode="auto">
                    <a:xfrm>
                      <a:off x="0" y="0"/>
                      <a:ext cx="1475207" cy="20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586AD" wp14:editId="02D76C19">
            <wp:extent cx="2352905" cy="1560645"/>
            <wp:effectExtent l="0" t="0" r="0" b="1905"/>
            <wp:docPr id="91" name="Рисунок 91" descr="https://klimat-profi.com.ua/wp-content/uploads/2018/08/l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mat-profi.com.ua/wp-content/uploads/2018/08/ld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6" cy="15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C2B7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         4                                    5                                                       6</w:t>
      </w:r>
    </w:p>
    <w:p w14:paraId="7AC4D599" w14:textId="6F5EA3DB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Мал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. Повітророзподільники. 1 –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гратки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нерегульовані, 2 –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гратки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регульовані, 3 –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анемостат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, 4 – стельовий дифузор, 5 –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вихрьовий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дифузор, 6 – лінійний дифузор.</w:t>
      </w:r>
    </w:p>
    <w:p w14:paraId="6C4336BB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Повітря, виходячи з повітророзподільника. формує припливний струмінь. Його розвиток має великий вплив на рух повітря по приміщенню.  Розглянемо формування вільного струменю, який виходить в приміщення з круглого отвору при відсутності інших впливів.</w:t>
      </w:r>
    </w:p>
    <w:p w14:paraId="6997905A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89C69A" w14:textId="77777777" w:rsidR="00F70FC2" w:rsidRPr="00F70FC2" w:rsidRDefault="00F70FC2" w:rsidP="00F70FC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DFB5F" wp14:editId="1D8152FD">
            <wp:extent cx="3786355" cy="2228457"/>
            <wp:effectExtent l="0" t="0" r="5080" b="635"/>
            <wp:docPr id="66" name="Рисунок 66" descr="https://web.posibnyky.vntu.edu.ua/fbteg/tkachenko_gidro_gazo_dunamika/images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bteg/tkachenko_gidro_gazo_dunamika/images/12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"/>
                    <a:stretch/>
                  </pic:blipFill>
                  <pic:spPr bwMode="auto">
                    <a:xfrm>
                      <a:off x="0" y="0"/>
                      <a:ext cx="3805831" cy="22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4F018" w14:textId="34297635" w:rsidR="00F70FC2" w:rsidRPr="00F70FC2" w:rsidRDefault="00F70FC2" w:rsidP="00F70FC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Мал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>. 2. Розвиток вільного струменю.</w:t>
      </w:r>
    </w:p>
    <w:p w14:paraId="52CB7CCB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Повітря виходить з круглого отвору діаметром </w:t>
      </w:r>
      <w:r w:rsidRPr="00F70F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0FC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зі швидкістю </w:t>
      </w:r>
      <w:r w:rsidRPr="00F70F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0FC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>, маючи температуру</w:t>
      </w:r>
      <w:r w:rsidRPr="00F70FC2">
        <w:rPr>
          <w:rFonts w:ascii="Times New Roman" w:hAnsi="Times New Roman" w:cs="Times New Roman"/>
          <w:sz w:val="24"/>
          <w:szCs w:val="24"/>
        </w:rPr>
        <w:t xml:space="preserve"> </w:t>
      </w:r>
      <w:r w:rsidRPr="00F70F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70FC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, формується круглий струмінь. Струмінь розвивається за законами для вільного затопленого струменю. </w:t>
      </w:r>
    </w:p>
    <w:p w14:paraId="637F5ACD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Теоретичні та експериментальні дослідження показали таке. Струмина, яка виходить із отвору з насадкою, поступово розширюється у вигляді конусу і завдяки в’язкості утягує в рух рідину, яка її оточує. Таким чином між струминою і довкіллям відбувається обмін масою. Так що в направленні руху струмини її маса збільшується.</w:t>
      </w:r>
    </w:p>
    <w:p w14:paraId="27CB4942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Розрізняють початкову ділянку – на якій швидкість центральної частини постійна,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0F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70FC2">
        <w:rPr>
          <w:rFonts w:ascii="Times New Roman" w:hAnsi="Times New Roman" w:cs="Times New Roman"/>
          <w:sz w:val="24"/>
          <w:szCs w:val="24"/>
        </w:rPr>
        <w:t xml:space="preserve"> = </w:t>
      </w:r>
      <w:r w:rsidRPr="00F70F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0FC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та основну ділянку. Довжина початкової ділянки складає 4-6 діаметрів сопла.</w:t>
      </w:r>
    </w:p>
    <w:p w14:paraId="3CC63A33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>На межових лініях (див. рис. ) ON і ON´ повздовжні швидкості дорівнюють нулю; ці лінії перетинаються на осі в точці О, яка називається «полюсом».</w:t>
      </w:r>
    </w:p>
    <w:p w14:paraId="1BB38C79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Якщо повітря виходить з прямокутного отвору, при співвідношення довжини до ширини 1/6 та більше, формується плоский струмінь. Характерним розміром для нього є </w:t>
      </w:r>
      <w:proofErr w:type="spellStart"/>
      <w:r w:rsidRPr="00F70FC2">
        <w:rPr>
          <w:rFonts w:ascii="Times New Roman" w:hAnsi="Times New Roman" w:cs="Times New Roman"/>
          <w:sz w:val="24"/>
          <w:szCs w:val="24"/>
          <w:lang w:val="uk-UA"/>
        </w:rPr>
        <w:t>напівширина</w:t>
      </w:r>
      <w:proofErr w:type="spellEnd"/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щілини </w:t>
      </w:r>
      <w:r w:rsidRPr="00F70F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0FC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>. Якщо повітря виходить з отвору, під кутом до осі, формується віяловий струмінь. Розрізняють повний та неповний віяловий струмінь.</w:t>
      </w:r>
    </w:p>
    <w:p w14:paraId="5220BE8B" w14:textId="28427355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E31C3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>– Розрахункові формули (по Абрамову Г.Н.) для круглої і плоскої вільної струмини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248"/>
        <w:gridCol w:w="1912"/>
        <w:gridCol w:w="2160"/>
      </w:tblGrid>
      <w:tr w:rsidR="00F70FC2" w:rsidRPr="00F70FC2" w14:paraId="29BC0CE5" w14:textId="77777777" w:rsidTr="00063A3E">
        <w:trPr>
          <w:tblCellSpacing w:w="0" w:type="dxa"/>
        </w:trPr>
        <w:tc>
          <w:tcPr>
            <w:tcW w:w="4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CA5D" w14:textId="77777777" w:rsidR="00F70FC2" w:rsidRPr="00F70FC2" w:rsidRDefault="00F70FC2" w:rsidP="000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32E4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3E41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Розрахункові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</w:tr>
      <w:tr w:rsidR="00F70FC2" w:rsidRPr="00F70FC2" w14:paraId="1EB4A739" w14:textId="77777777" w:rsidTr="00063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7965" w14:textId="77777777" w:rsidR="00F70FC2" w:rsidRPr="00F70FC2" w:rsidRDefault="00F70FC2" w:rsidP="000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E71F" w14:textId="77777777" w:rsidR="00F70FC2" w:rsidRPr="00F70FC2" w:rsidRDefault="00F70FC2" w:rsidP="000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7320D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19DA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</w:t>
            </w:r>
          </w:p>
        </w:tc>
      </w:tr>
      <w:tr w:rsidR="00F70FC2" w:rsidRPr="00F70FC2" w14:paraId="33BA023E" w14:textId="77777777" w:rsidTr="00063A3E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0642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нахилу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один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умовної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межі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CF92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q/2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D35B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1032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2,4a</w:t>
            </w:r>
          </w:p>
        </w:tc>
      </w:tr>
      <w:tr w:rsidR="00F70FC2" w:rsidRPr="00F70FC2" w14:paraId="61E07961" w14:textId="77777777" w:rsidTr="00063A3E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C138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Відносна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539C4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E56D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0,67/a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F738B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1,03/a</w:t>
            </w:r>
          </w:p>
        </w:tc>
      </w:tr>
      <w:tr w:rsidR="00F70FC2" w:rsidRPr="00F70FC2" w14:paraId="1AA04476" w14:textId="77777777" w:rsidTr="00063A3E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6EED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Відносний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радіус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півширина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5817E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A14F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3,4[0,29+(a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·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01B5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5987D5" wp14:editId="56BCBAA3">
                  <wp:extent cx="1304925" cy="200025"/>
                  <wp:effectExtent l="0" t="0" r="9525" b="9525"/>
                  <wp:docPr id="70" name="Рисунок 70" descr="https://web.posibnyky.vntu.edu.ua/fbteg/tkachenko_gidro_gazo_dunamika/images/12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.posibnyky.vntu.edu.ua/fbteg/tkachenko_gidro_gazo_dunamika/images/12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C2" w:rsidRPr="00F70FC2" w14:paraId="460E401C" w14:textId="77777777" w:rsidTr="00063A3E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3631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Відносна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осьова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EA8AD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umax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9DB81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0,96/[0,29+(a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·</w:t>
            </w:r>
            <w:r w:rsidRPr="00F70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91A4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50EB43" wp14:editId="385E4055">
                  <wp:extent cx="1323975" cy="285750"/>
                  <wp:effectExtent l="0" t="0" r="9525" b="0"/>
                  <wp:docPr id="69" name="Рисунок 69" descr="https://web.posibnyky.vntu.edu.ua/fbteg/tkachenko_gidro_gazo_dunamika/images/12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.posibnyky.vntu.edu.ua/fbteg/tkachenko_gidro_gazo_dunamika/images/12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C2" w:rsidRPr="00F70FC2" w14:paraId="38133FE6" w14:textId="77777777" w:rsidTr="00063A3E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3948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Відносні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4118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0990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2,18/[0,29+(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BCF7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D6D24D" wp14:editId="564E8A25">
                  <wp:extent cx="1352550" cy="238125"/>
                  <wp:effectExtent l="0" t="0" r="0" b="9525"/>
                  <wp:docPr id="68" name="Рисунок 68" descr="https://web.posibnyky.vntu.edu.ua/fbteg/tkachenko_gidro_gazo_dunamika/images/12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posibnyky.vntu.edu.ua/fbteg/tkachenko_gidro_gazo_dunamika/images/12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7313F" w14:textId="77777777" w:rsidR="00F70FC2" w:rsidRPr="00F70FC2" w:rsidRDefault="00F70FC2" w:rsidP="00F70F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a – константа; в рівномірному початковому полі швидкостей а = 0,066 для круглої і а = 0,09 – для плоскої струмини. При цьому кут нахилу зовнішньої умовної межі θ/2  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дорівнює 13</w:t>
      </w:r>
      <w:r w:rsidRPr="00F70F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і 15</w:t>
      </w:r>
      <w:r w:rsidRPr="00F70F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 xml:space="preserve"> для круглої і плоскої струмини. В цих формулах довжина l означає відстань від початку струмини до перерізу, в якому визначається параметр.</w:t>
      </w:r>
    </w:p>
    <w:p w14:paraId="3E791DC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Спираючись на ці залежності, можна знайти швидкість руху повітря, витрату повітря в будь-якій точці струменю.</w:t>
      </w:r>
    </w:p>
    <w:p w14:paraId="4778E1C4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Розвиток струменю в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повітророзподілювача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має деякі особливості, зумовлені наявністю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відхиленням перерізу від кругу і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т.і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</w:t>
      </w:r>
    </w:p>
    <w:p w14:paraId="037A0110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Також необхідно враховувати:</w:t>
      </w:r>
    </w:p>
    <w:p w14:paraId="7A8762A7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стисненість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струменю - якщо він займає понад 25 % перерізу приміщення, характеризується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коефіціентом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70FC2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с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14:paraId="36E0A870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взаємодію струменів – якщо при розвитку струменю від точки випуску до входу в робочу зону сусідні струмені перетинаються, характеризується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коефіціентом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70FC2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в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14:paraId="63AAAF9F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температурний коефіцієнт – для врахування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Архімедових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сил, що діють на струмінь, характеризується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коефіціентом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70FC2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н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14:paraId="262045E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ефект настилання – струмінь, випущений біля поверхні, може «прилипати» до неї.</w:t>
      </w:r>
    </w:p>
    <w:p w14:paraId="285F0D02" w14:textId="5AF64670" w:rsidR="00F70FC2" w:rsidRPr="00F70FC2" w:rsidRDefault="00F70FC2" w:rsidP="00B54EF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Формули, за якими розраховуються параметри припливного струменю з повітророзподільника приведені в таблиці </w:t>
      </w:r>
      <w:r w:rsidR="00B54EFC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</w:p>
    <w:p w14:paraId="6182BD9F" w14:textId="328FA9C8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Таблиця </w:t>
      </w:r>
      <w:r w:rsidR="00E31C38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F70FC2">
        <w:rPr>
          <w:rFonts w:ascii="Times New Roman" w:hAnsi="Times New Roman" w:cs="Times New Roman"/>
          <w:sz w:val="24"/>
          <w:szCs w:val="24"/>
          <w:lang w:val="uk-UA"/>
        </w:rPr>
        <w:t>Розрахункові залежності для основної ділянки припливного струменю.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253"/>
        <w:gridCol w:w="1919"/>
        <w:gridCol w:w="2160"/>
      </w:tblGrid>
      <w:tr w:rsidR="00F70FC2" w:rsidRPr="00F70FC2" w14:paraId="7C2310EB" w14:textId="77777777" w:rsidTr="00063A3E">
        <w:trPr>
          <w:tblCellSpacing w:w="0" w:type="dxa"/>
        </w:trPr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69EE" w14:textId="77777777" w:rsidR="00F70FC2" w:rsidRPr="00F70FC2" w:rsidRDefault="00F70FC2" w:rsidP="00F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C241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F594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Розрахункові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</w:tr>
      <w:tr w:rsidR="00F70FC2" w:rsidRPr="00F70FC2" w14:paraId="201A1365" w14:textId="77777777" w:rsidTr="00063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05A0" w14:textId="77777777" w:rsidR="00F70FC2" w:rsidRPr="00F70FC2" w:rsidRDefault="00F70FC2" w:rsidP="000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A782" w14:textId="77777777" w:rsidR="00F70FC2" w:rsidRPr="00F70FC2" w:rsidRDefault="00F70FC2" w:rsidP="000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2501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7E17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</w:t>
            </w:r>
          </w:p>
        </w:tc>
      </w:tr>
      <w:tr w:rsidR="00F70FC2" w:rsidRPr="00F70FC2" w14:paraId="513BB3CC" w14:textId="77777777" w:rsidTr="00063A3E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6D7C5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Осьова швидкість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05E62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1A9D2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</m:t>
                    </m:r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CBD6C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l</m:t>
                        </m:r>
                      </m:e>
                    </m:rad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oMath>
            </m:oMathPara>
          </w:p>
        </w:tc>
      </w:tr>
      <w:tr w:rsidR="00F70FC2" w:rsidRPr="00F70FC2" w14:paraId="457FC771" w14:textId="77777777" w:rsidTr="00063A3E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7199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Осьова різниця температур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BE847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AC2A4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n·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9AEB3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n·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l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</w:tr>
      <w:tr w:rsidR="00F70FC2" w:rsidRPr="00F70FC2" w14:paraId="2E0C5CC6" w14:textId="77777777" w:rsidTr="00063A3E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1FA7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Довжина початкової ділянки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22F32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п.д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96FB9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FEEE3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·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</w:tr>
      <w:tr w:rsidR="00F70FC2" w:rsidRPr="00F70FC2" w14:paraId="1CD6D1A5" w14:textId="77777777" w:rsidTr="00063A3E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FD765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Відносні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711C3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Q/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13808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l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F9514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1.4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F70FC2" w:rsidRPr="00F70FC2" w14:paraId="7FF89C69" w14:textId="77777777" w:rsidTr="00063A3E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7550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Відстань від осі струменю до межі зони прямого впливу (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=0.5</w:t>
            </w:r>
            <w:proofErr w:type="spellStart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7E1E" w14:textId="77777777" w:rsidR="00F70FC2" w:rsidRPr="00F70FC2" w:rsidRDefault="00F70FC2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D08B5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0.66·l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3F05C" w14:textId="77777777" w:rsidR="00F70FC2" w:rsidRPr="00F70FC2" w:rsidRDefault="00000000" w:rsidP="00063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0.67·l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7F9561AD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та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експериментальні коефіцієнти. Вони дорівнюють</w:t>
      </w:r>
    </w:p>
    <w:p w14:paraId="20D11BAA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6,8,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=4,8 – для циліндричної труби</w:t>
      </w:r>
    </w:p>
    <w:p w14:paraId="111F1F4E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6, 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=4,2 – для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, сіток які займають 0,5-0,8 живого перерізу.</w:t>
      </w:r>
    </w:p>
    <w:p w14:paraId="1CDE78D1" w14:textId="2957E8B6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Для інших типів треба використовувати дані виробника.</w:t>
      </w:r>
    </w:p>
    <w:p w14:paraId="1DCDA7BE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При виборі схеми розподілу слід користуватись такими рекомендаціями:</w:t>
      </w:r>
    </w:p>
    <w:p w14:paraId="75A8F83D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відстань між припливними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гратками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2-4 м;</w:t>
      </w:r>
    </w:p>
    <w:p w14:paraId="6E4842A7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швидкість подачі повітря – до 3 м/с;</w:t>
      </w:r>
    </w:p>
    <w:p w14:paraId="653202AB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висота встановлення припливних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2,5-4,5 м;</w:t>
      </w:r>
    </w:p>
    <w:p w14:paraId="4A9D39A8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відстань від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 стелі -  не менше 1,5 висоти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14:paraId="0CB9AC37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- кількість повітря, що подається через одні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гратки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200-1200 м</w:t>
      </w:r>
      <w:r w:rsidRPr="00F70FC2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3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/год (ця рекомендація не відноситься до спеціалізованих повітророзподільників);</w:t>
      </w:r>
    </w:p>
    <w:p w14:paraId="4A1066B6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постійні робочі місця (посадкові місця в ресторанах, в залах кінотеатрів) бажано виносити за межі припливного струменю, подавати припливне повітря рекомендовано в проходи.</w:t>
      </w:r>
    </w:p>
    <w:p w14:paraId="4C13A494" w14:textId="5F86EC60" w:rsid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Додатково необхідно враховувати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конвективні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потоки, що формуються від роботи систем опалення та кондиціювання, а також від нагрітого обладнання. Наприклад, небажано розташовувати витяжні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гратки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над радіаторами опалення або поблизу струменю прохолодного повітря від кондиціонеру.</w:t>
      </w:r>
    </w:p>
    <w:p w14:paraId="550119ED" w14:textId="77777777" w:rsidR="00B54EFC" w:rsidRPr="00F70FC2" w:rsidRDefault="00B54EFC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14:paraId="289D94B7" w14:textId="2C8759A5" w:rsidR="00F70FC2" w:rsidRPr="00F70FC2" w:rsidRDefault="00F70FC2" w:rsidP="00F70FC2">
      <w:pPr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0FC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Конструювання системи повітропроводів. Аеродинамічний розрахунок повітропроводів.</w:t>
      </w:r>
    </w:p>
    <w:p w14:paraId="405EE6E1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Після визначення місця розташування припливної камери (витяжного вентилятору), місця випуску/забору повітря, місця розташування повітророзподільників їх потрібно з´єднати повітропроводами. </w:t>
      </w:r>
    </w:p>
    <w:p w14:paraId="13CC1AA3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За формою поперечного перерізу розрізняють повітропроводи:</w:t>
      </w:r>
    </w:p>
    <w:p w14:paraId="18268AFA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круглі </w:t>
      </w:r>
    </w:p>
    <w:p w14:paraId="19AE4F4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прямокутні (як варіант – квадратні) </w:t>
      </w:r>
    </w:p>
    <w:p w14:paraId="4F24CC1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овальні, трикутні та інші – менш поширені.</w:t>
      </w:r>
    </w:p>
    <w:p w14:paraId="51B71C2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Круглі повітропроводи мають оптимальне співвідношення пропускна спроможність/витрата матеріалу і є рекомендованими, прямокутні використовують при стиснених умовах прокладки, здебільшого в громадських та житлових будівлях. Використання повітропроводів інших форм є нетехнологічним і має бути додатково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обгрунтованим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14:paraId="78C0A131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За видами матеріалів виготовлення розрізняють повітропроводи:</w:t>
      </w:r>
    </w:p>
    <w:p w14:paraId="10F4D382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металеві – зі сталі з покриттям цинком чи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алюмоцинком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, нержавіючої сталі, титанових сплавів, листового алюмінію, міді тощо;</w:t>
      </w:r>
    </w:p>
    <w:p w14:paraId="1B62DBB3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металопластикові - зі сталі з покриттям (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полівінілхлоридноюплівкою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спіненого пінополіуретану із захистом ззовні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алюмінієвоюфольгою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металополімерні гнучкі армовані пружною металевою спіраллю (зі склотканини, силікону,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алюмополіетілену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поліуретану,полівінілхлориду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вініуретану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) тощо;</w:t>
      </w:r>
    </w:p>
    <w:p w14:paraId="3A9321B8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неметалеві – з бетону та залізобетону, керамзитобетону, арболіту,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вапняно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-гіпсових плит, азбестоцементу (за санітарними нормами азбестовмісні матеріали заборонено для припливних ділянок), </w:t>
      </w:r>
    </w:p>
    <w:p w14:paraId="39815275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з полімерних матеріалів (поліетилен (ПЕ), поліпропілен(ПП), полівінілхлорид (ПВХ), вініпласт, склопластик), </w:t>
      </w:r>
    </w:p>
    <w:p w14:paraId="31451857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- текстильні(виготовлені з синтетичних тканин).</w:t>
      </w:r>
    </w:p>
    <w:p w14:paraId="42C3802C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За класом щільності.</w:t>
      </w:r>
    </w:p>
    <w:p w14:paraId="6118E529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 – для ділянок відкритих повітропроводів , які прокладають в межах приміщення</w:t>
      </w:r>
    </w:p>
    <w:p w14:paraId="131C332F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В – загальна мінімальна вимога для повітропроводів усередині будівлі</w:t>
      </w:r>
    </w:p>
    <w:p w14:paraId="3BE44B05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 – підвищені вимоги, застосовуються якщо система надто розгалужена, якщо підсмоктування/витікання повітря не забезпечують необхідні якість повітря чи умови в приміщенні, де прокладений повітропровід, створюють загрозу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кондесації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, а також для систем підвищеного тиску;</w:t>
      </w:r>
    </w:p>
    <w:p w14:paraId="401EDA74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спеціальне застосування.</w:t>
      </w:r>
    </w:p>
    <w:p w14:paraId="7AAF7399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Повітропроводи мають досить великий розмір, тому їх прокладці треба приділяти велику увагу. Прокладка може бути вільною, в підшивній стелі, всередині стін або у спеціальному просторі між перегородок. Довжину від вентилятору до кінцевої точки бажано приймати не більше 30 м.</w:t>
      </w:r>
    </w:p>
    <w:p w14:paraId="37F29E28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Повітропровід, температура повітря в якому значно відрізняється від температури приміщення, крізь яке він проходить, має бути ізольованим. Це стосується як холодного повітропроводу від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повітрозабору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 калорифера, від кондиціонера до повітророзподільника, так і гарячого повітропроводу повітряного опалення чи звичайного повітропроводу, що проходить крізь неопалюване приміщення. Такі повітропроводи бажано робити якнайкоротшими.</w:t>
      </w:r>
    </w:p>
    <w:p w14:paraId="71AA3BD2" w14:textId="77777777" w:rsidR="00F70FC2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Підбір діаметра повітропроводу виконується по рекомендованим швидкостям повітря. Швидкість повітря приймають від 3 до 8 м/с – для механічної вентиляції, 0,7-1,5 м/с – для природної. Швидкість на кінцевих ділянках приймають меншу, ніж біля вентилятору.</w:t>
      </w:r>
    </w:p>
    <w:p w14:paraId="67FB06DB" w14:textId="4360C535" w:rsidR="0042391D" w:rsidRPr="00F70FC2" w:rsidRDefault="00F70FC2" w:rsidP="00F70FC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Аеродинамічний розрахунок системи опалення аналогічний гідравлічному розрахунку системи опалення, за винятком того, що втрату на місцевих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спротивах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 можна приймати за спрощеною формулою. Втрата тиску від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повітрозабору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 повітророзподільнику (або від витяжних </w:t>
      </w:r>
      <w:proofErr w:type="spellStart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>граток</w:t>
      </w:r>
      <w:proofErr w:type="spellEnd"/>
      <w:r w:rsidRPr="00F70F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 витяжної шахти)  дорівнює тиску на вентилятору – для механічних систем, або розрахунковому перепаду тисків при природній з урахуванням 10%-го запасу.</w:t>
      </w:r>
    </w:p>
    <w:sectPr w:rsidR="0042391D" w:rsidRPr="00F7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1D"/>
    <w:rsid w:val="0023040D"/>
    <w:rsid w:val="002D7C5B"/>
    <w:rsid w:val="0042391D"/>
    <w:rsid w:val="00793B24"/>
    <w:rsid w:val="00B54EFC"/>
    <w:rsid w:val="00E31C38"/>
    <w:rsid w:val="00F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A121"/>
  <w15:chartTrackingRefBased/>
  <w15:docId w15:val="{D3A00A7A-1005-479E-9EB2-C62E897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C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5</cp:revision>
  <dcterms:created xsi:type="dcterms:W3CDTF">2023-10-21T18:31:00Z</dcterms:created>
  <dcterms:modified xsi:type="dcterms:W3CDTF">2023-10-23T07:48:00Z</dcterms:modified>
</cp:coreProperties>
</file>