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29" w:rsidRPr="00283A0B" w:rsidRDefault="00E30D29" w:rsidP="00E30D29">
      <w:pPr>
        <w:spacing w:line="240" w:lineRule="auto"/>
        <w:jc w:val="center"/>
        <w:rPr>
          <w:b/>
          <w:i/>
          <w:sz w:val="28"/>
          <w:szCs w:val="28"/>
        </w:rPr>
      </w:pPr>
      <w:r w:rsidRPr="00283A0B">
        <w:rPr>
          <w:b/>
          <w:i/>
          <w:sz w:val="28"/>
          <w:szCs w:val="28"/>
        </w:rPr>
        <w:t xml:space="preserve">Завдання на практичне заняття </w:t>
      </w:r>
      <w:r w:rsidR="00562C8C">
        <w:rPr>
          <w:b/>
          <w:i/>
          <w:sz w:val="28"/>
          <w:szCs w:val="28"/>
          <w:lang w:val="ru-RU"/>
        </w:rPr>
        <w:t>1</w:t>
      </w:r>
      <w:r w:rsidR="00CB73D6">
        <w:rPr>
          <w:b/>
          <w:i/>
          <w:sz w:val="28"/>
          <w:szCs w:val="28"/>
          <w:lang w:val="ru-RU"/>
        </w:rPr>
        <w:t>4</w:t>
      </w:r>
      <w:r w:rsidRPr="00283A0B">
        <w:rPr>
          <w:b/>
          <w:i/>
          <w:sz w:val="28"/>
          <w:szCs w:val="28"/>
        </w:rPr>
        <w:t xml:space="preserve"> </w:t>
      </w:r>
      <w:r>
        <w:rPr>
          <w:b/>
          <w:i/>
          <w:sz w:val="28"/>
          <w:szCs w:val="28"/>
        </w:rPr>
        <w:t>верес</w:t>
      </w:r>
      <w:r w:rsidRPr="00283A0B">
        <w:rPr>
          <w:b/>
          <w:i/>
          <w:sz w:val="28"/>
          <w:szCs w:val="28"/>
        </w:rPr>
        <w:t xml:space="preserve">ня </w:t>
      </w:r>
    </w:p>
    <w:p w:rsidR="00E30D29" w:rsidRPr="00CB73D6" w:rsidRDefault="00E30D29" w:rsidP="00E30D29">
      <w:pPr>
        <w:spacing w:line="240" w:lineRule="auto"/>
        <w:jc w:val="center"/>
        <w:rPr>
          <w:rStyle w:val="fontstyle01"/>
          <w:rFonts w:ascii="Times New Roman" w:hAnsi="Times New Roman"/>
          <w:sz w:val="28"/>
          <w:szCs w:val="28"/>
        </w:rPr>
      </w:pPr>
      <w:r w:rsidRPr="00CB73D6">
        <w:rPr>
          <w:b/>
          <w:i/>
          <w:sz w:val="28"/>
          <w:szCs w:val="28"/>
        </w:rPr>
        <w:t xml:space="preserve">(виконати до </w:t>
      </w:r>
      <w:r w:rsidR="00CB73D6" w:rsidRPr="00CB73D6">
        <w:rPr>
          <w:b/>
          <w:i/>
          <w:sz w:val="28"/>
          <w:szCs w:val="28"/>
          <w:lang w:val="ru-RU"/>
        </w:rPr>
        <w:t>20</w:t>
      </w:r>
      <w:r w:rsidRPr="00CB73D6">
        <w:rPr>
          <w:b/>
          <w:i/>
          <w:sz w:val="28"/>
          <w:szCs w:val="28"/>
        </w:rPr>
        <w:t xml:space="preserve"> вересня)</w:t>
      </w:r>
    </w:p>
    <w:p w:rsidR="00E30D29" w:rsidRPr="00CB73D6" w:rsidRDefault="00E30D29" w:rsidP="00E30D29">
      <w:pPr>
        <w:spacing w:line="240" w:lineRule="auto"/>
        <w:ind w:firstLine="0"/>
        <w:jc w:val="center"/>
        <w:rPr>
          <w:sz w:val="28"/>
          <w:szCs w:val="28"/>
        </w:rPr>
      </w:pPr>
    </w:p>
    <w:p w:rsidR="00E30D29" w:rsidRPr="00CB73D6" w:rsidRDefault="00E30D29" w:rsidP="00E30D29">
      <w:pPr>
        <w:spacing w:line="240" w:lineRule="auto"/>
        <w:ind w:firstLine="0"/>
        <w:jc w:val="center"/>
        <w:rPr>
          <w:b/>
          <w:sz w:val="28"/>
          <w:szCs w:val="28"/>
        </w:rPr>
      </w:pPr>
      <w:r w:rsidRPr="00CB73D6">
        <w:rPr>
          <w:sz w:val="28"/>
          <w:szCs w:val="28"/>
        </w:rPr>
        <w:t xml:space="preserve">ТЕМА </w:t>
      </w:r>
      <w:r w:rsidR="00560A02" w:rsidRPr="00CB73D6">
        <w:rPr>
          <w:sz w:val="28"/>
          <w:szCs w:val="28"/>
          <w:lang w:val="ru-RU"/>
        </w:rPr>
        <w:t>2</w:t>
      </w:r>
      <w:r w:rsidRPr="00CB73D6">
        <w:rPr>
          <w:sz w:val="28"/>
          <w:szCs w:val="28"/>
        </w:rPr>
        <w:t>.</w:t>
      </w:r>
      <w:r w:rsidRPr="00CB73D6">
        <w:rPr>
          <w:b/>
          <w:sz w:val="28"/>
          <w:szCs w:val="28"/>
        </w:rPr>
        <w:t xml:space="preserve"> </w:t>
      </w:r>
      <w:r w:rsidR="00560A02" w:rsidRPr="00CB73D6">
        <w:rPr>
          <w:b/>
          <w:sz w:val="28"/>
          <w:szCs w:val="28"/>
        </w:rPr>
        <w:t>КОНФЛІКТ ІНТЕРЕСІВ У ПОДАТКОВИХ ПРАВОВІДНОСИНАХ ТА ШЛЯХИ ЙОГО ВИРІШЕННЯ</w:t>
      </w:r>
    </w:p>
    <w:p w:rsidR="00E30D29" w:rsidRPr="00CB73D6" w:rsidRDefault="00E30D29" w:rsidP="00E30D29">
      <w:pPr>
        <w:spacing w:line="240" w:lineRule="auto"/>
        <w:ind w:firstLine="0"/>
        <w:jc w:val="center"/>
        <w:rPr>
          <w:b/>
          <w:sz w:val="28"/>
          <w:szCs w:val="28"/>
        </w:rPr>
      </w:pPr>
    </w:p>
    <w:p w:rsidR="00CB73D6" w:rsidRPr="00CB73D6" w:rsidRDefault="00CB73D6" w:rsidP="00E30D29">
      <w:pPr>
        <w:widowControl w:val="0"/>
        <w:spacing w:line="240" w:lineRule="auto"/>
        <w:rPr>
          <w:bCs/>
          <w:i/>
          <w:sz w:val="28"/>
          <w:szCs w:val="28"/>
        </w:rPr>
      </w:pPr>
      <w:r w:rsidRPr="00CB73D6">
        <w:rPr>
          <w:bCs/>
          <w:i/>
          <w:sz w:val="28"/>
          <w:szCs w:val="28"/>
        </w:rPr>
        <w:t>Практичне завдання: сформувати запит на індивідуальну податкову консультацію</w:t>
      </w:r>
      <w:r>
        <w:rPr>
          <w:bCs/>
          <w:i/>
          <w:sz w:val="28"/>
          <w:szCs w:val="28"/>
        </w:rPr>
        <w:t xml:space="preserve"> (відповідно до презентаційних матеріалів).</w:t>
      </w:r>
      <w:bookmarkStart w:id="0" w:name="_GoBack"/>
      <w:bookmarkEnd w:id="0"/>
    </w:p>
    <w:p w:rsidR="00927DC6" w:rsidRPr="00CB73D6" w:rsidRDefault="00E30D29" w:rsidP="00CB73D6">
      <w:pPr>
        <w:widowControl w:val="0"/>
        <w:spacing w:line="240" w:lineRule="auto"/>
        <w:rPr>
          <w:bCs/>
          <w:i/>
          <w:sz w:val="28"/>
          <w:szCs w:val="28"/>
        </w:rPr>
      </w:pPr>
      <w:r w:rsidRPr="00CB73D6">
        <w:rPr>
          <w:bCs/>
          <w:i/>
          <w:sz w:val="28"/>
          <w:szCs w:val="28"/>
        </w:rPr>
        <w:t>Тести для перевірки знань</w:t>
      </w:r>
      <w:r w:rsidR="00CB73D6" w:rsidRPr="00CB73D6">
        <w:rPr>
          <w:bCs/>
          <w:i/>
          <w:sz w:val="28"/>
          <w:szCs w:val="28"/>
        </w:rPr>
        <w:t>:</w:t>
      </w:r>
    </w:p>
    <w:p w:rsidR="00560A02" w:rsidRPr="00CB73D6" w:rsidRDefault="00560A02" w:rsidP="00E30D29">
      <w:pPr>
        <w:spacing w:line="240" w:lineRule="auto"/>
      </w:pPr>
      <w:r w:rsidRPr="00CB73D6">
        <w:t xml:space="preserve">1. Під досягненням компромісу розуміється </w:t>
      </w:r>
    </w:p>
    <w:p w:rsidR="00560A02" w:rsidRPr="00CB73D6" w:rsidRDefault="00560A02" w:rsidP="00E30D29">
      <w:pPr>
        <w:spacing w:line="240" w:lineRule="auto"/>
      </w:pPr>
      <w:r w:rsidRPr="00CB73D6">
        <w:t xml:space="preserve">А) сплата платником податків до бюджету сум податкових зобов’язань з ПДВ та/або податку на прибуток; </w:t>
      </w:r>
    </w:p>
    <w:p w:rsidR="00560A02" w:rsidRDefault="00560A02" w:rsidP="00E30D29">
      <w:pPr>
        <w:spacing w:line="240" w:lineRule="auto"/>
      </w:pPr>
      <w:r>
        <w:t xml:space="preserve">Б) сплата платником податків до бюджету сум податкових зобов’язань; </w:t>
      </w:r>
    </w:p>
    <w:p w:rsidR="00560A02" w:rsidRDefault="00560A02" w:rsidP="00E30D29">
      <w:pPr>
        <w:spacing w:line="240" w:lineRule="auto"/>
      </w:pPr>
      <w:r>
        <w:t xml:space="preserve">В) справляння усіх зборів, платежів, податків; </w:t>
      </w:r>
    </w:p>
    <w:p w:rsidR="00560A02" w:rsidRDefault="00560A02" w:rsidP="00E30D29">
      <w:pPr>
        <w:spacing w:line="240" w:lineRule="auto"/>
      </w:pPr>
      <w:r>
        <w:t xml:space="preserve">Г) сплата платником податків до бюджету сум податкових зобов’язань з ПДФО, земельного податку. </w:t>
      </w:r>
    </w:p>
    <w:p w:rsidR="00560A02" w:rsidRDefault="00560A02" w:rsidP="00E30D29">
      <w:pPr>
        <w:spacing w:line="240" w:lineRule="auto"/>
      </w:pPr>
      <w:r>
        <w:t xml:space="preserve">2. За результатами узгодженого податкового компромісу штрафні санкції до платника податків </w:t>
      </w:r>
    </w:p>
    <w:p w:rsidR="00560A02" w:rsidRDefault="00560A02" w:rsidP="00E30D29">
      <w:pPr>
        <w:spacing w:line="240" w:lineRule="auto"/>
      </w:pPr>
      <w:r>
        <w:t xml:space="preserve">А) не застосовуються, а пеня відповідно не нараховується; </w:t>
      </w:r>
    </w:p>
    <w:p w:rsidR="00560A02" w:rsidRDefault="00560A02" w:rsidP="00E30D29">
      <w:pPr>
        <w:spacing w:line="240" w:lineRule="auto"/>
      </w:pPr>
      <w:r>
        <w:t>Б) не застосовуються, а пеня нараховується;</w:t>
      </w:r>
    </w:p>
    <w:p w:rsidR="00560A02" w:rsidRDefault="00560A02" w:rsidP="00E30D29">
      <w:pPr>
        <w:spacing w:line="240" w:lineRule="auto"/>
      </w:pPr>
      <w:r>
        <w:t xml:space="preserve">В) застосовуються, але пеня не нараховується; </w:t>
      </w:r>
    </w:p>
    <w:p w:rsidR="00560A02" w:rsidRDefault="00560A02" w:rsidP="00E30D29">
      <w:pPr>
        <w:spacing w:line="240" w:lineRule="auto"/>
      </w:pPr>
      <w:r>
        <w:t xml:space="preserve">Г) застосовуються як штрафні санкції так і пеня. </w:t>
      </w:r>
    </w:p>
    <w:p w:rsidR="00560A02" w:rsidRDefault="00560A02" w:rsidP="00E30D29">
      <w:pPr>
        <w:spacing w:line="240" w:lineRule="auto"/>
      </w:pPr>
      <w:r>
        <w:t xml:space="preserve">3. Податкові консультації мають </w:t>
      </w:r>
    </w:p>
    <w:p w:rsidR="00560A02" w:rsidRDefault="00560A02" w:rsidP="00E30D29">
      <w:pPr>
        <w:spacing w:line="240" w:lineRule="auto"/>
      </w:pPr>
      <w:r>
        <w:t xml:space="preserve">А) загальний характер та можуть використовуватись усіма бажаючими; </w:t>
      </w:r>
    </w:p>
    <w:p w:rsidR="00560A02" w:rsidRDefault="00560A02" w:rsidP="00E30D29">
      <w:pPr>
        <w:spacing w:line="240" w:lineRule="auto"/>
      </w:pPr>
      <w:r>
        <w:t xml:space="preserve">Б) індивідуальний характер і може використовуватись виключно платником податку, якому надано таку консультацію; </w:t>
      </w:r>
    </w:p>
    <w:p w:rsidR="00560A02" w:rsidRDefault="00560A02" w:rsidP="00E30D29">
      <w:pPr>
        <w:spacing w:line="240" w:lineRule="auto"/>
      </w:pPr>
      <w:r>
        <w:t xml:space="preserve">В) усе залежить від змісту податкової консультації; </w:t>
      </w:r>
    </w:p>
    <w:p w:rsidR="00560A02" w:rsidRDefault="00560A02" w:rsidP="00E30D29">
      <w:pPr>
        <w:spacing w:line="240" w:lineRule="auto"/>
      </w:pPr>
      <w:r>
        <w:t xml:space="preserve">Г) загальний або індивідуальний характер, в залежності від органу, що надав цю консультацію. </w:t>
      </w:r>
    </w:p>
    <w:p w:rsidR="00560A02" w:rsidRDefault="00560A02" w:rsidP="00E30D29">
      <w:pPr>
        <w:spacing w:line="240" w:lineRule="auto"/>
      </w:pPr>
      <w:r>
        <w:t xml:space="preserve">4. Податкове роз’яснення – це </w:t>
      </w:r>
    </w:p>
    <w:p w:rsidR="00560A02" w:rsidRDefault="00560A02" w:rsidP="00E30D29">
      <w:pPr>
        <w:spacing w:line="240" w:lineRule="auto"/>
      </w:pPr>
      <w:r>
        <w:t xml:space="preserve">А) оприлюднення думки працівників податкового органу щодо застосування норм податкового законодавства; </w:t>
      </w:r>
    </w:p>
    <w:p w:rsidR="00560A02" w:rsidRDefault="00560A02" w:rsidP="00E30D29">
      <w:pPr>
        <w:spacing w:line="240" w:lineRule="auto"/>
      </w:pPr>
      <w:r>
        <w:t xml:space="preserve">Б) оприлюднення змісту податкового законодавства уповноваженими на це контролюючими органами; </w:t>
      </w:r>
    </w:p>
    <w:p w:rsidR="00560A02" w:rsidRDefault="00560A02" w:rsidP="00E30D29">
      <w:pPr>
        <w:spacing w:line="240" w:lineRule="auto"/>
      </w:pPr>
      <w:r>
        <w:t>В) оприлюднення науково-практичного коментаря органами Д</w:t>
      </w:r>
      <w:r>
        <w:rPr>
          <w:lang w:val="ru-RU"/>
        </w:rPr>
        <w:t>П</w:t>
      </w:r>
      <w:r>
        <w:t xml:space="preserve">С з окремих норм податкового законодавства; </w:t>
      </w:r>
    </w:p>
    <w:p w:rsidR="00560A02" w:rsidRDefault="00560A02" w:rsidP="00E30D29">
      <w:pPr>
        <w:spacing w:line="240" w:lineRule="auto"/>
      </w:pPr>
      <w:r>
        <w:t xml:space="preserve">Г) оприлюднення офіційного розуміння окремих положень податкового законодавства уповноваженими на це контролюючими органами, яке використовується при обґрунтуванні їх рішень під час проведення апеляційних процедур. </w:t>
      </w:r>
    </w:p>
    <w:p w:rsidR="00560A02" w:rsidRDefault="00560A02" w:rsidP="00E30D29">
      <w:pPr>
        <w:spacing w:line="240" w:lineRule="auto"/>
      </w:pPr>
      <w:r>
        <w:t>5. Якщо норми роз'яснень центрального органу Д</w:t>
      </w:r>
      <w:r>
        <w:rPr>
          <w:lang w:val="ru-RU"/>
        </w:rPr>
        <w:t>П</w:t>
      </w:r>
      <w:r>
        <w:t xml:space="preserve">С суперечать нормам відповідей інших податкових органів (інших контролюючих органів), пріоритет мають </w:t>
      </w:r>
    </w:p>
    <w:p w:rsidR="00560A02" w:rsidRDefault="00560A02" w:rsidP="00E30D29">
      <w:pPr>
        <w:spacing w:line="240" w:lineRule="auto"/>
      </w:pPr>
      <w:r>
        <w:t xml:space="preserve">А) норми податкового законодавства; </w:t>
      </w:r>
    </w:p>
    <w:p w:rsidR="00560A02" w:rsidRDefault="00560A02" w:rsidP="00E30D29">
      <w:pPr>
        <w:spacing w:line="240" w:lineRule="auto"/>
      </w:pPr>
      <w:r>
        <w:t xml:space="preserve">Б) норми роз'яснень центрального органу; </w:t>
      </w:r>
    </w:p>
    <w:p w:rsidR="00560A02" w:rsidRDefault="00560A02" w:rsidP="00E30D29">
      <w:pPr>
        <w:spacing w:line="240" w:lineRule="auto"/>
      </w:pPr>
      <w:r>
        <w:t xml:space="preserve">В) рішення суду; </w:t>
      </w:r>
    </w:p>
    <w:p w:rsidR="00560A02" w:rsidRDefault="00560A02" w:rsidP="00E30D29">
      <w:pPr>
        <w:spacing w:line="240" w:lineRule="auto"/>
      </w:pPr>
      <w:r>
        <w:t xml:space="preserve">Г) на вирішення самого платника податків. </w:t>
      </w:r>
    </w:p>
    <w:p w:rsidR="00560A02" w:rsidRDefault="00560A02" w:rsidP="00E30D29">
      <w:pPr>
        <w:spacing w:line="240" w:lineRule="auto"/>
      </w:pPr>
    </w:p>
    <w:p w:rsidR="00560A02" w:rsidRDefault="00560A02" w:rsidP="00E30D29">
      <w:pPr>
        <w:spacing w:line="240" w:lineRule="auto"/>
      </w:pPr>
      <w:r>
        <w:lastRenderedPageBreak/>
        <w:t xml:space="preserve">6. Платник податків може оскаржити до суду: </w:t>
      </w:r>
    </w:p>
    <w:p w:rsidR="00560A02" w:rsidRDefault="00560A02" w:rsidP="00E30D29">
      <w:pPr>
        <w:spacing w:line="240" w:lineRule="auto"/>
      </w:pPr>
      <w:r>
        <w:t xml:space="preserve">А) рішення контролюючого органу або органу стягнення щодо видання інструкцій чи податкових роз'яснень (у тому числі форм обов'язкової податкової звітності), які, за висновком такого платника податків, суперечать нормам або змісту відповідного податку, збору (обов'язкового платежу); </w:t>
      </w:r>
    </w:p>
    <w:p w:rsidR="00560A02" w:rsidRDefault="00560A02" w:rsidP="00E30D29">
      <w:pPr>
        <w:spacing w:line="240" w:lineRule="auto"/>
      </w:pPr>
      <w:r>
        <w:t xml:space="preserve">Б) лише акти податкових перевірок; </w:t>
      </w:r>
    </w:p>
    <w:p w:rsidR="00560A02" w:rsidRDefault="00560A02" w:rsidP="00E30D29">
      <w:pPr>
        <w:spacing w:line="240" w:lineRule="auto"/>
      </w:pPr>
      <w:r>
        <w:t xml:space="preserve">В) лише податкові повідомлення рішення контролюючого органу; </w:t>
      </w:r>
    </w:p>
    <w:p w:rsidR="00560A02" w:rsidRDefault="00560A02" w:rsidP="00E30D29">
      <w:pPr>
        <w:spacing w:line="240" w:lineRule="auto"/>
      </w:pPr>
      <w:r>
        <w:t xml:space="preserve">Г) лише органу стягнення. </w:t>
      </w:r>
    </w:p>
    <w:p w:rsidR="00560A02" w:rsidRDefault="00560A02" w:rsidP="00E30D29">
      <w:pPr>
        <w:spacing w:line="240" w:lineRule="auto"/>
      </w:pPr>
      <w:r>
        <w:t xml:space="preserve">7. Податковий компроміс – це </w:t>
      </w:r>
    </w:p>
    <w:p w:rsidR="00560A02" w:rsidRDefault="00560A02" w:rsidP="00E30D29">
      <w:pPr>
        <w:spacing w:line="240" w:lineRule="auto"/>
      </w:pPr>
      <w:r>
        <w:t xml:space="preserve">А) режим звільнення від сплати платників податків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 </w:t>
      </w:r>
    </w:p>
    <w:p w:rsidR="00560A02" w:rsidRDefault="00560A02" w:rsidP="00E30D29">
      <w:pPr>
        <w:spacing w:line="240" w:lineRule="auto"/>
      </w:pPr>
      <w:r>
        <w:t xml:space="preserve">Б) звільнення від кримінальної відповідальності платника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 </w:t>
      </w:r>
    </w:p>
    <w:p w:rsidR="00560A02" w:rsidRDefault="00560A02" w:rsidP="00E30D29">
      <w:pPr>
        <w:spacing w:line="240" w:lineRule="auto"/>
      </w:pPr>
      <w:r>
        <w:t xml:space="preserve">В) режим звільнення від юридичної відповідальності платників податків та/або їх посадових (службових) осіб за заниження податкових зобов’язань з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 </w:t>
      </w:r>
    </w:p>
    <w:p w:rsidR="00560A02" w:rsidRDefault="00560A02" w:rsidP="00E30D29">
      <w:pPr>
        <w:spacing w:line="240" w:lineRule="auto"/>
      </w:pPr>
      <w:r>
        <w:t xml:space="preserve">Г) усі відповіді правильні. </w:t>
      </w:r>
    </w:p>
    <w:p w:rsidR="00560A02" w:rsidRDefault="00560A02" w:rsidP="00E30D29">
      <w:pPr>
        <w:spacing w:line="240" w:lineRule="auto"/>
      </w:pPr>
      <w:r>
        <w:t xml:space="preserve">8. Причинами конфлікту в податкових правовідносинах може бути </w:t>
      </w:r>
    </w:p>
    <w:p w:rsidR="00560A02" w:rsidRDefault="00560A02" w:rsidP="00E30D29">
      <w:pPr>
        <w:spacing w:line="240" w:lineRule="auto"/>
      </w:pPr>
      <w:r>
        <w:t xml:space="preserve">А) недосконалість нормативно-правових актів (протиріччя та суперечності в податковому законодавстві, недостатня чіткість окремих норм податкового кодексу та ін.); </w:t>
      </w:r>
    </w:p>
    <w:p w:rsidR="00560A02" w:rsidRDefault="00560A02" w:rsidP="00E30D29">
      <w:pPr>
        <w:spacing w:line="240" w:lineRule="auto"/>
      </w:pPr>
      <w:r>
        <w:t xml:space="preserve">Б) діючий порядок адміністрування податків і зборів (реєстрації та обліку платників податків, електронне адміністрування податків, механізм здійснення податкового контролю та ін.); </w:t>
      </w:r>
    </w:p>
    <w:p w:rsidR="00560A02" w:rsidRDefault="00560A02" w:rsidP="00E30D29">
      <w:pPr>
        <w:spacing w:line="240" w:lineRule="auto"/>
      </w:pPr>
      <w:r>
        <w:t xml:space="preserve">В) інформаційне забезпечення платників податків і зборів (своєчасність, доступність роз’яснень щодо порядку справляння нових податків, норм звітності та ін.); </w:t>
      </w:r>
    </w:p>
    <w:p w:rsidR="00560A02" w:rsidRDefault="00560A02" w:rsidP="00E30D29">
      <w:pPr>
        <w:spacing w:line="240" w:lineRule="auto"/>
      </w:pPr>
      <w:r>
        <w:t xml:space="preserve">Г) усі відповіді правильні. </w:t>
      </w:r>
    </w:p>
    <w:p w:rsidR="00560A02" w:rsidRDefault="00560A02" w:rsidP="00E30D29">
      <w:pPr>
        <w:spacing w:line="240" w:lineRule="auto"/>
      </w:pPr>
      <w:r>
        <w:t xml:space="preserve">9. Процедура досягнення податкового компромісу триває </w:t>
      </w:r>
    </w:p>
    <w:p w:rsidR="00560A02" w:rsidRDefault="00560A02" w:rsidP="00E30D29">
      <w:pPr>
        <w:spacing w:line="240" w:lineRule="auto"/>
      </w:pPr>
      <w:r>
        <w:t xml:space="preserve">А) не більше 70 календарних днів з дня, наступного за днем подання уточнюючого розрахунку; </w:t>
      </w:r>
    </w:p>
    <w:p w:rsidR="00560A02" w:rsidRDefault="00560A02" w:rsidP="00E30D29">
      <w:pPr>
        <w:spacing w:line="240" w:lineRule="auto"/>
      </w:pPr>
      <w:r>
        <w:t xml:space="preserve">Б) не більше 30 календарних днів з дня, наступного за днем подання уточнюючого розрахунку; </w:t>
      </w:r>
    </w:p>
    <w:p w:rsidR="00560A02" w:rsidRDefault="00560A02" w:rsidP="00E30D29">
      <w:pPr>
        <w:spacing w:line="240" w:lineRule="auto"/>
      </w:pPr>
      <w:r>
        <w:t xml:space="preserve">В) не більше 60 календарних днів з дня, наступного за днем подання уточнюючого розрахунку; </w:t>
      </w:r>
    </w:p>
    <w:p w:rsidR="00560A02" w:rsidRDefault="00560A02" w:rsidP="00E30D29">
      <w:pPr>
        <w:spacing w:line="240" w:lineRule="auto"/>
      </w:pPr>
      <w:r>
        <w:t xml:space="preserve">Г) не більше 120 календарних днів з дня, наступного за днем подання уточнюючого розрахунку. </w:t>
      </w:r>
    </w:p>
    <w:p w:rsidR="00560A02" w:rsidRDefault="00560A02" w:rsidP="00E30D29">
      <w:pPr>
        <w:spacing w:line="240" w:lineRule="auto"/>
      </w:pPr>
      <w:r>
        <w:t xml:space="preserve">10. Під досягненням компромісу розуміється </w:t>
      </w:r>
    </w:p>
    <w:p w:rsidR="00560A02" w:rsidRDefault="00560A02" w:rsidP="00E30D29">
      <w:pPr>
        <w:spacing w:line="240" w:lineRule="auto"/>
      </w:pPr>
      <w:r>
        <w:t xml:space="preserve">А) сплата платником податків до бюджету сум податкових зобов’язань з ПДВ та/або податку на прибуток; </w:t>
      </w:r>
    </w:p>
    <w:p w:rsidR="00560A02" w:rsidRDefault="00560A02" w:rsidP="00E30D29">
      <w:pPr>
        <w:spacing w:line="240" w:lineRule="auto"/>
      </w:pPr>
      <w:r>
        <w:t>Б) звільнення від кримінальної відповідальності;</w:t>
      </w:r>
    </w:p>
    <w:p w:rsidR="00560A02" w:rsidRDefault="00560A02" w:rsidP="00E30D29">
      <w:pPr>
        <w:spacing w:line="240" w:lineRule="auto"/>
      </w:pPr>
      <w:r>
        <w:t xml:space="preserve">В) звільнення від фінансової відповідальності; </w:t>
      </w:r>
    </w:p>
    <w:p w:rsidR="00E220FA" w:rsidRDefault="00560A02" w:rsidP="00E30D29">
      <w:pPr>
        <w:spacing w:line="240" w:lineRule="auto"/>
      </w:pPr>
      <w:r>
        <w:t>Г) звільнення від адміністративної відповідальності.</w:t>
      </w:r>
    </w:p>
    <w:p w:rsidR="00560A02" w:rsidRPr="00560A02" w:rsidRDefault="00560A02" w:rsidP="00E30D29">
      <w:pPr>
        <w:spacing w:line="240" w:lineRule="auto"/>
        <w:rPr>
          <w:b/>
          <w:sz w:val="8"/>
          <w:szCs w:val="8"/>
          <w:lang w:eastAsia="uk-UA"/>
        </w:rPr>
      </w:pPr>
    </w:p>
    <w:p w:rsidR="00E30D29" w:rsidRPr="009A1E36" w:rsidRDefault="00E30D29" w:rsidP="00E30D29">
      <w:pPr>
        <w:spacing w:line="240" w:lineRule="auto"/>
        <w:rPr>
          <w:b/>
          <w:sz w:val="28"/>
          <w:szCs w:val="28"/>
          <w:lang w:eastAsia="uk-UA"/>
        </w:rPr>
      </w:pPr>
      <w:r w:rsidRPr="009A1E36">
        <w:rPr>
          <w:b/>
          <w:sz w:val="28"/>
          <w:szCs w:val="28"/>
          <w:lang w:eastAsia="uk-UA"/>
        </w:rPr>
        <w:lastRenderedPageBreak/>
        <w:t xml:space="preserve">Виконані контрольні завдання надсилати на електронну пошту: </w:t>
      </w:r>
      <w:r w:rsidR="00CB73D6">
        <w:rPr>
          <w:b/>
          <w:sz w:val="28"/>
          <w:szCs w:val="28"/>
          <w:lang w:eastAsia="uk-UA"/>
        </w:rPr>
        <w:t>fem_dai@ztu.edu.ua</w:t>
      </w:r>
    </w:p>
    <w:sectPr w:rsidR="00E30D29" w:rsidRPr="009A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Pro-BoldCon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186"/>
    <w:multiLevelType w:val="hybridMultilevel"/>
    <w:tmpl w:val="70F84F2E"/>
    <w:lvl w:ilvl="0" w:tplc="0419000F">
      <w:start w:val="1"/>
      <w:numFmt w:val="decimal"/>
      <w:lvlText w:val="%1."/>
      <w:lvlJc w:val="left"/>
      <w:pPr>
        <w:tabs>
          <w:tab w:val="num" w:pos="720"/>
        </w:tabs>
        <w:ind w:left="720" w:hanging="360"/>
      </w:pPr>
    </w:lvl>
    <w:lvl w:ilvl="1" w:tplc="DE4486EE">
      <w:start w:val="1"/>
      <w:numFmt w:val="decimal"/>
      <w:lvlText w:val="%2."/>
      <w:lvlJc w:val="left"/>
      <w:pPr>
        <w:tabs>
          <w:tab w:val="num" w:pos="1080"/>
        </w:tabs>
        <w:ind w:left="1420" w:hanging="340"/>
      </w:pPr>
      <w:rPr>
        <w:rFonts w:hint="default"/>
      </w:rPr>
    </w:lvl>
    <w:lvl w:ilvl="2" w:tplc="C5141940">
      <w:start w:val="1"/>
      <w:numFmt w:val="decimal"/>
      <w:lvlText w:val="%3)"/>
      <w:lvlJc w:val="left"/>
      <w:pPr>
        <w:tabs>
          <w:tab w:val="num" w:pos="2340"/>
        </w:tabs>
        <w:ind w:left="2340" w:hanging="360"/>
      </w:pPr>
      <w:rPr>
        <w:rFonts w:hint="default"/>
      </w:rPr>
    </w:lvl>
    <w:lvl w:ilvl="3" w:tplc="05225A74">
      <w:start w:val="1"/>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DD1385"/>
    <w:multiLevelType w:val="hybridMultilevel"/>
    <w:tmpl w:val="A13CEA2E"/>
    <w:lvl w:ilvl="0" w:tplc="0419000F">
      <w:start w:val="1"/>
      <w:numFmt w:val="decimal"/>
      <w:lvlText w:val="%1."/>
      <w:lvlJc w:val="left"/>
      <w:pPr>
        <w:tabs>
          <w:tab w:val="num" w:pos="1620"/>
        </w:tabs>
        <w:ind w:left="1620" w:hanging="360"/>
      </w:pPr>
    </w:lvl>
    <w:lvl w:ilvl="1" w:tplc="2D80E4A0">
      <w:start w:val="1"/>
      <w:numFmt w:val="decimal"/>
      <w:lvlText w:val="%2."/>
      <w:lvlJc w:val="left"/>
      <w:pPr>
        <w:tabs>
          <w:tab w:val="num" w:pos="1980"/>
        </w:tabs>
        <w:ind w:left="2320" w:hanging="340"/>
      </w:pPr>
      <w:rPr>
        <w:rFonts w:hint="default"/>
      </w:r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15:restartNumberingAfterBreak="0">
    <w:nsid w:val="50627426"/>
    <w:multiLevelType w:val="hybridMultilevel"/>
    <w:tmpl w:val="2DD6F39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65"/>
    <w:rsid w:val="00560A02"/>
    <w:rsid w:val="00562C8C"/>
    <w:rsid w:val="006C3E4D"/>
    <w:rsid w:val="00927DC6"/>
    <w:rsid w:val="00A07865"/>
    <w:rsid w:val="00CB73D6"/>
    <w:rsid w:val="00E220FA"/>
    <w:rsid w:val="00E3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9E03"/>
  <w15:chartTrackingRefBased/>
  <w15:docId w15:val="{A91B98DE-8F0D-4697-A12E-7575A25F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D29"/>
    <w:pPr>
      <w:spacing w:after="0" w:line="288" w:lineRule="auto"/>
      <w:ind w:firstLine="567"/>
      <w:jc w:val="both"/>
    </w:pPr>
    <w:rPr>
      <w:rFonts w:ascii="Times New Roman" w:eastAsia="Times New Roman" w:hAnsi="Times New Roman" w:cs="Times New Roman"/>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30D29"/>
    <w:rPr>
      <w:rFonts w:ascii="MyriadPro-BoldCond" w:hAnsi="MyriadPro-BoldCond" w:hint="default"/>
      <w:b/>
      <w:bCs/>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3090</Words>
  <Characters>1762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VINGA</cp:lastModifiedBy>
  <cp:revision>2</cp:revision>
  <dcterms:created xsi:type="dcterms:W3CDTF">2023-09-13T15:37:00Z</dcterms:created>
  <dcterms:modified xsi:type="dcterms:W3CDTF">2023-09-13T15:37:00Z</dcterms:modified>
</cp:coreProperties>
</file>