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829BFEC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8"/>
        </w:rPr>
      </w:pPr>
      <w:r>
        <w:rPr>
          <w:b w:val="1"/>
          <w:sz w:val="28"/>
        </w:rPr>
        <w:t>Перелік питань на іспит "Загальне редагування"</w:t>
      </w:r>
    </w:p>
    <w:p>
      <w:pPr>
        <w:jc w:val="both"/>
        <w:rPr>
          <w:sz w:val="28"/>
        </w:rPr>
      </w:pP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оняття </w:t>
      </w:r>
      <w:r>
        <w:rPr>
          <w:i w:val="1"/>
          <w:sz w:val="28"/>
        </w:rPr>
        <w:t>помилка</w:t>
      </w:r>
      <w:r>
        <w:rPr>
          <w:sz w:val="28"/>
        </w:rPr>
        <w:t>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Лінгвістичний підхід до вивчення помилок.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Соціолінгвістичний підхід до вивчення помилок.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Психологічний і психолінгвістичний підходи до вивчення помилок.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Логіко-комунікативний і функціонально-комунікативний підходи до вивчення помилок.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Помилки усного мовлення.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Помилки писемного мовлення.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Помилки мовця (автора).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Сприймання мовлення. Помилки сприймання.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Класифікації помилок.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Фактичні помилки.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Типові логічні помилки.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 xml:space="preserve">Типи мовних помилок. 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Типові граматичні помилки.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Типові лексико-фразеологічні помилки.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Значення слова як джерело помилок.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Пунктуаційні помилки.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Типові стилістичні помилки.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Можливості варіативності мовних засобів при передачі інформації та при творенні емоційного тексту.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 xml:space="preserve">Види редакторського читання. 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Комунікаційні особливості процесу редагування.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 xml:space="preserve">Види та процес правки тексту. 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 xml:space="preserve">Логічне нормування тексту. 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Специфіка смислового аналізу тексту.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р</w:t>
      </w:r>
      <w:r>
        <w:rPr>
          <w:sz w:val="28"/>
        </w:rPr>
        <w:t xml:space="preserve">оцес редагування. </w:t>
      </w:r>
    </w:p>
    <w:p>
      <w:pPr>
        <w:rPr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1A63734"/>
    <w:multiLevelType w:val="hybridMultilevel"/>
    <w:lvl w:ilvl="0" w:tplc="0422000F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04220019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0422001B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160"/>
      </w:pPr>
      <w:rPr/>
    </w:lvl>
    <w:lvl w:ilvl="3" w:tplc="0422000F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04220019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0422001B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320"/>
      </w:pPr>
      <w:rPr/>
    </w:lvl>
    <w:lvl w:ilvl="6" w:tplc="0422000F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04220019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0422001B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