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74BA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02BC02CA" w14:textId="77777777" w:rsidR="009F7279" w:rsidRPr="004B744D" w:rsidRDefault="009F7279" w:rsidP="009F7279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ПЕРЕЗАТВЕРДЖЕНО</w:t>
      </w:r>
    </w:p>
    <w:p w14:paraId="01C3B87B" w14:textId="77777777" w:rsidR="009F7279" w:rsidRPr="004B744D" w:rsidRDefault="009F7279" w:rsidP="009F727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4C8909E5" w14:textId="77777777" w:rsidR="009F7279" w:rsidRPr="004B744D" w:rsidRDefault="009F7279" w:rsidP="009F727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404D8468" w14:textId="77777777" w:rsidR="009F7279" w:rsidRPr="004B744D" w:rsidRDefault="009F7279" w:rsidP="009F727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>23 вересня 2022 р., протокол № 1</w:t>
      </w:r>
    </w:p>
    <w:p w14:paraId="78DD6364" w14:textId="77777777" w:rsidR="009F7279" w:rsidRDefault="009F7279" w:rsidP="009F727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603AFCD2" w14:textId="77777777" w:rsidR="009F7279" w:rsidRPr="004B744D" w:rsidRDefault="009F7279" w:rsidP="009F727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5201EA1E" w14:textId="77777777" w:rsidR="009F7279" w:rsidRPr="004B744D" w:rsidRDefault="009F7279" w:rsidP="009F7279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2E7F54F8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65EB804A" w14:textId="77777777" w:rsidR="009F7279" w:rsidRDefault="009F7279" w:rsidP="009F727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6A57AB1" w14:textId="77777777" w:rsidR="009F7279" w:rsidRPr="004B744D" w:rsidRDefault="009F7279" w:rsidP="009F7279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656089AD" w14:textId="03377E43" w:rsidR="009F7279" w:rsidRPr="004B744D" w:rsidRDefault="009F7279" w:rsidP="009F727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2A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МЕДІАФІЛОСОФІЯ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438EA696" w14:textId="77777777" w:rsidR="009F7279" w:rsidRPr="004B744D" w:rsidRDefault="009F7279" w:rsidP="009F727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99A22E" w14:textId="77777777" w:rsidR="009F7279" w:rsidRPr="004B744D" w:rsidRDefault="009F7279" w:rsidP="009F7279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EFA8CF" w14:textId="77777777" w:rsidR="009F7279" w:rsidRPr="004B744D" w:rsidRDefault="009F7279" w:rsidP="009F727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072BEED6" w14:textId="77777777" w:rsidR="009F7279" w:rsidRPr="004B744D" w:rsidRDefault="009F7279" w:rsidP="009F727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спеціальності 0</w:t>
      </w:r>
      <w:r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4B74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Філософ</w:t>
      </w:r>
      <w:r w:rsidRPr="004B744D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3B762EEE" w14:textId="77777777" w:rsidR="009F7279" w:rsidRDefault="009F7279" w:rsidP="009F727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>
        <w:rPr>
          <w:rFonts w:ascii="Times New Roman" w:hAnsi="Times New Roman" w:cs="Times New Roman"/>
          <w:sz w:val="28"/>
          <w:szCs w:val="28"/>
        </w:rPr>
        <w:t xml:space="preserve">Масові комунікації.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консалтинг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3FF33A3A" w14:textId="77777777" w:rsidR="009F7279" w:rsidRPr="004B744D" w:rsidRDefault="009F7279" w:rsidP="009F727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710D8DC5" w14:textId="77777777" w:rsidR="009F7279" w:rsidRPr="004B744D" w:rsidRDefault="009F7279" w:rsidP="009F7279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3004C271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A436E7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3DB0B31" w14:textId="77777777" w:rsidR="009F7279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15493763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34DE899D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протокол № 2 від 22 вересня 2022 р.</w:t>
      </w:r>
    </w:p>
    <w:p w14:paraId="58520BCC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E9B810D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0EB2B7CD" w14:textId="77777777" w:rsidR="009F7279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941F269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71FD9629" w14:textId="77777777" w:rsidR="009F7279" w:rsidRPr="004B744D" w:rsidRDefault="009F7279" w:rsidP="009F727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8769204" w14:textId="77777777" w:rsidR="009F7279" w:rsidRPr="004B744D" w:rsidRDefault="009F7279" w:rsidP="009F727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C6550" w14:textId="77777777" w:rsidR="009F7279" w:rsidRPr="004B744D" w:rsidRDefault="009F7279" w:rsidP="009F7279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</w:p>
    <w:p w14:paraId="2757A14E" w14:textId="77777777" w:rsidR="009F7279" w:rsidRPr="004B744D" w:rsidRDefault="009F7279" w:rsidP="009F7279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67D3EEBF" w14:textId="77777777" w:rsidR="009F7279" w:rsidRPr="004B744D" w:rsidRDefault="009F7279" w:rsidP="009F72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B052E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28FDA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55D56560" w14:textId="77777777" w:rsidR="009F7279" w:rsidRPr="004B744D" w:rsidRDefault="009F7279" w:rsidP="009F72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2022 – 2023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769F0324" w14:textId="77777777" w:rsidR="009F7279" w:rsidRDefault="009F7279" w:rsidP="009F7279"/>
    <w:p w14:paraId="55A65F9B" w14:textId="29D2455E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04A27BDB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40EE4B68" w:rsidR="0021017A" w:rsidRPr="0021017A" w:rsidRDefault="0043620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  <w:r w:rsidRPr="00436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6B3DDE31" w:rsidR="0021017A" w:rsidRPr="0021017A" w:rsidRDefault="009F7279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AB46F7F" w:rsidR="00437863" w:rsidRPr="0021017A" w:rsidRDefault="001E68A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67DE441" w:rsidR="0021017A" w:rsidRPr="0021017A" w:rsidRDefault="0021017A" w:rsidP="00B7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B72A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66B5C40E" w:rsidR="0021017A" w:rsidRPr="0021017A" w:rsidRDefault="00164CC6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2B6C686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372A58A3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FA20D4" w14:textId="37333D9C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554295C5" w:rsidR="0021017A" w:rsidRPr="0021017A" w:rsidRDefault="009F727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8EEDB7C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5508E419" w:rsidR="0021017A" w:rsidRPr="0021017A" w:rsidRDefault="00B72A1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14:paraId="30737BF1" w14:textId="7E672598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43CC2899" w:rsidR="0021017A" w:rsidRPr="0021017A" w:rsidRDefault="00B72A19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68D7AB5C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343A3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727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3B">
        <w:rPr>
          <w:rFonts w:ascii="Times New Roman" w:hAnsi="Times New Roman" w:cs="Times New Roman"/>
          <w:sz w:val="24"/>
          <w:szCs w:val="24"/>
        </w:rPr>
        <w:t>4</w:t>
      </w:r>
      <w:r w:rsidR="009F72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5C048D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28F1C5E0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2A19">
        <w:rPr>
          <w:rFonts w:ascii="Times New Roman" w:hAnsi="Times New Roman" w:cs="Times New Roman"/>
          <w:sz w:val="24"/>
          <w:szCs w:val="24"/>
        </w:rPr>
        <w:t>Медіаф</w:t>
      </w:r>
      <w:r w:rsidRPr="00A43B93">
        <w:rPr>
          <w:rFonts w:ascii="Times New Roman" w:hAnsi="Times New Roman" w:cs="Times New Roman"/>
          <w:sz w:val="24"/>
          <w:szCs w:val="24"/>
        </w:rPr>
        <w:t>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436206" w:rsidRPr="00436206">
        <w:rPr>
          <w:rFonts w:ascii="Times New Roman" w:hAnsi="Times New Roman" w:cs="Times New Roman"/>
          <w:sz w:val="24"/>
          <w:szCs w:val="24"/>
        </w:rPr>
        <w:t>0</w:t>
      </w:r>
      <w:r w:rsidR="008F7373">
        <w:rPr>
          <w:rFonts w:ascii="Times New Roman" w:hAnsi="Times New Roman" w:cs="Times New Roman"/>
          <w:sz w:val="24"/>
          <w:szCs w:val="24"/>
        </w:rPr>
        <w:t>33</w:t>
      </w:r>
      <w:r w:rsidR="00436206" w:rsidRPr="00436206">
        <w:rPr>
          <w:rFonts w:ascii="Times New Roman" w:hAnsi="Times New Roman" w:cs="Times New Roman"/>
          <w:sz w:val="24"/>
          <w:szCs w:val="24"/>
        </w:rPr>
        <w:t xml:space="preserve"> </w:t>
      </w:r>
      <w:r w:rsidR="008F7373">
        <w:rPr>
          <w:rFonts w:ascii="Times New Roman" w:hAnsi="Times New Roman" w:cs="Times New Roman"/>
          <w:sz w:val="24"/>
          <w:szCs w:val="24"/>
        </w:rPr>
        <w:t>Філософія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8F7373" w:rsidRPr="008F7373">
        <w:rPr>
          <w:rFonts w:ascii="Times New Roman" w:hAnsi="Times New Roman" w:cs="Times New Roman"/>
          <w:sz w:val="24"/>
          <w:szCs w:val="24"/>
        </w:rPr>
        <w:t>«Масові комунікації</w:t>
      </w:r>
      <w:r w:rsidR="00B72A19">
        <w:rPr>
          <w:rFonts w:ascii="Times New Roman" w:hAnsi="Times New Roman" w:cs="Times New Roman"/>
          <w:sz w:val="24"/>
          <w:szCs w:val="24"/>
        </w:rPr>
        <w:t>, к</w:t>
      </w:r>
      <w:r w:rsidR="008F7373" w:rsidRPr="008F7373">
        <w:rPr>
          <w:rFonts w:ascii="Times New Roman" w:hAnsi="Times New Roman" w:cs="Times New Roman"/>
          <w:sz w:val="24"/>
          <w:szCs w:val="24"/>
        </w:rPr>
        <w:t>оучи</w:t>
      </w:r>
      <w:bookmarkStart w:id="0" w:name="_GoBack"/>
      <w:bookmarkEnd w:id="0"/>
      <w:r w:rsidR="008F7373" w:rsidRPr="008F7373">
        <w:rPr>
          <w:rFonts w:ascii="Times New Roman" w:hAnsi="Times New Roman" w:cs="Times New Roman"/>
          <w:sz w:val="24"/>
          <w:szCs w:val="24"/>
        </w:rPr>
        <w:t>нг та консалтинг»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0F5DE6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E6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0F5DE6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 w:rsidRPr="000F5D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98D2B8" w14:textId="77777777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ЗК1. Здатність до абстрактного мислення, аналізу та синтезу.</w:t>
      </w:r>
    </w:p>
    <w:p w14:paraId="39A3DC2C" w14:textId="095AD870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ЗК3. Знання та розуміння предметної області та розуміння професійної діяльності.</w:t>
      </w:r>
    </w:p>
    <w:p w14:paraId="03EC9FBA" w14:textId="011308BA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ЗК8. Здатність бути критичним і самокритичним.</w:t>
      </w:r>
    </w:p>
    <w:p w14:paraId="2C8E6098" w14:textId="77777777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ЗК12.Здатність усвідомлювати рівні можливості та гендерні проблеми.</w:t>
      </w:r>
    </w:p>
    <w:p w14:paraId="795390D5" w14:textId="71E2BE54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ЗК13. Здатність зберігати та примножувати моральні, культурні, наукові цінності і досягнення 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14:paraId="52426CBC" w14:textId="572748E2" w:rsidR="00745B22" w:rsidRDefault="00745B22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22">
        <w:rPr>
          <w:rFonts w:ascii="Times New Roman" w:hAnsi="Times New Roman" w:cs="Times New Roman"/>
          <w:sz w:val="24"/>
          <w:szCs w:val="24"/>
        </w:rPr>
        <w:t>ЗК14. Цінування та повага різноманітності і мультикультурності.</w:t>
      </w:r>
    </w:p>
    <w:p w14:paraId="1923E317" w14:textId="5086D517" w:rsidR="003B3E90" w:rsidRDefault="003B3E90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90">
        <w:rPr>
          <w:rFonts w:ascii="Times New Roman" w:hAnsi="Times New Roman" w:cs="Times New Roman"/>
          <w:sz w:val="24"/>
          <w:szCs w:val="24"/>
        </w:rPr>
        <w:t>СК1. Здатність застосовувати знання з основ теорії та філософії права, знання і розуміння структури правничої професії та її ролі у суспільстві.</w:t>
      </w:r>
    </w:p>
    <w:p w14:paraId="5FA9A8D9" w14:textId="7D81F86B" w:rsidR="00C16D13" w:rsidRDefault="00900F2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0F23">
        <w:rPr>
          <w:rFonts w:ascii="Times New Roman" w:hAnsi="Times New Roman" w:cs="Times New Roman"/>
          <w:sz w:val="24"/>
          <w:szCs w:val="24"/>
        </w:rPr>
        <w:t>СК3. Повага до честі і  гідності людини як найвищої соціальної цінності, розуміння  їх правової природи.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1FEBC5DC" w:rsidR="00417FBD" w:rsidRPr="00436206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06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36206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36206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="00436206" w:rsidRPr="00436206">
        <w:rPr>
          <w:rFonts w:ascii="Times New Roman" w:hAnsi="Times New Roman" w:cs="Times New Roman"/>
          <w:sz w:val="24"/>
          <w:szCs w:val="24"/>
        </w:rPr>
        <w:t>081 Право</w:t>
      </w:r>
      <w:r w:rsidR="000F5DE6">
        <w:rPr>
          <w:rFonts w:ascii="Times New Roman" w:hAnsi="Times New Roman" w:cs="Times New Roman"/>
          <w:sz w:val="24"/>
          <w:szCs w:val="24"/>
        </w:rPr>
        <w:t>:</w:t>
      </w:r>
    </w:p>
    <w:p w14:paraId="22346811" w14:textId="7CDBDB4F" w:rsidR="00E23555" w:rsidRPr="00164CC6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F74B5E" w14:textId="6B5A5F67" w:rsidR="00AA42A4" w:rsidRPr="000F5DE6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0F5DE6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0F5DE6">
        <w:rPr>
          <w:rFonts w:ascii="Times New Roman" w:hAnsi="Times New Roman" w:cs="Times New Roman"/>
          <w:sz w:val="24"/>
          <w:szCs w:val="24"/>
        </w:rPr>
        <w:t>:</w:t>
      </w:r>
    </w:p>
    <w:p w14:paraId="0CBFC417" w14:textId="14DAD04A" w:rsidR="000F5DE6" w:rsidRDefault="000F5DE6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ПРН1. Визначати переконливість аргументів у процесі оцінки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E6">
        <w:rPr>
          <w:rFonts w:ascii="Times New Roman" w:hAnsi="Times New Roman" w:cs="Times New Roman"/>
          <w:sz w:val="24"/>
          <w:szCs w:val="24"/>
        </w:rPr>
        <w:t>заздалегідь невідомих умов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E6">
        <w:rPr>
          <w:rFonts w:ascii="Times New Roman" w:hAnsi="Times New Roman" w:cs="Times New Roman"/>
          <w:sz w:val="24"/>
          <w:szCs w:val="24"/>
        </w:rPr>
        <w:t>обставин.</w:t>
      </w:r>
    </w:p>
    <w:p w14:paraId="29755BDC" w14:textId="6F869032" w:rsidR="000F5DE6" w:rsidRDefault="000F5DE6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lastRenderedPageBreak/>
        <w:t>ПРН2. Здійснювати аналіз суспільних процесів у контексті аналізованої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E6">
        <w:rPr>
          <w:rFonts w:ascii="Times New Roman" w:hAnsi="Times New Roman" w:cs="Times New Roman"/>
          <w:sz w:val="24"/>
          <w:szCs w:val="24"/>
        </w:rPr>
        <w:t>проблеми і демонструвати власне бачення шляхів її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E6">
        <w:rPr>
          <w:rFonts w:ascii="Times New Roman" w:hAnsi="Times New Roman" w:cs="Times New Roman"/>
          <w:sz w:val="24"/>
          <w:szCs w:val="24"/>
        </w:rPr>
        <w:t>розв’язання.</w:t>
      </w:r>
    </w:p>
    <w:p w14:paraId="1856BAE3" w14:textId="2ED43B6C" w:rsidR="000F5DE6" w:rsidRDefault="000F5DE6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ПРН4. Формулювати власні обґрунтовані судження на основі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E6">
        <w:rPr>
          <w:rFonts w:ascii="Times New Roman" w:hAnsi="Times New Roman" w:cs="Times New Roman"/>
          <w:sz w:val="24"/>
          <w:szCs w:val="24"/>
        </w:rPr>
        <w:t>аналізу відомої проблеми.</w:t>
      </w:r>
    </w:p>
    <w:p w14:paraId="1EF866C4" w14:textId="1D65F514" w:rsidR="000F5DE6" w:rsidRDefault="000F5DE6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0F5DE6">
        <w:rPr>
          <w:rFonts w:ascii="Times New Roman" w:hAnsi="Times New Roman" w:cs="Times New Roman"/>
          <w:sz w:val="24"/>
          <w:szCs w:val="24"/>
        </w:rPr>
        <w:t>ПРН13. Пояснювати характер певних подій та процесів зрозумінням професійного та суспільного контексту.</w:t>
      </w: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0116F617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 xml:space="preserve">Соціальне буття та його специфіка. </w:t>
      </w:r>
      <w:r w:rsidR="003B3E90">
        <w:rPr>
          <w:rFonts w:ascii="Times New Roman" w:hAnsi="Times New Roman" w:cs="Times New Roman"/>
          <w:b/>
          <w:bCs/>
          <w:sz w:val="24"/>
          <w:szCs w:val="24"/>
        </w:rPr>
        <w:t>Інституційний вимір права.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30A9CD23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  <w:r w:rsidR="00745B22">
        <w:rPr>
          <w:rFonts w:ascii="Times New Roman" w:hAnsi="Times New Roman" w:cs="Times New Roman"/>
          <w:sz w:val="24"/>
          <w:szCs w:val="24"/>
        </w:rPr>
        <w:t xml:space="preserve"> Мультикультурність як соціальне явище глобалізованого світу. Проблема </w:t>
      </w:r>
      <w:proofErr w:type="spellStart"/>
      <w:r w:rsidR="00745B22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="00745B22">
        <w:rPr>
          <w:rFonts w:ascii="Times New Roman" w:hAnsi="Times New Roman" w:cs="Times New Roman"/>
          <w:sz w:val="24"/>
          <w:szCs w:val="24"/>
        </w:rPr>
        <w:t xml:space="preserve"> у філософії постмодерну.</w:t>
      </w:r>
    </w:p>
    <w:p w14:paraId="32FF5F2E" w14:textId="75A101BA" w:rsidR="00FF749A" w:rsidRDefault="003B3E9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E90">
        <w:rPr>
          <w:rFonts w:ascii="Times New Roman" w:hAnsi="Times New Roman" w:cs="Times New Roman"/>
          <w:sz w:val="24"/>
          <w:szCs w:val="24"/>
        </w:rPr>
        <w:t>Інституційний вимір права</w:t>
      </w:r>
      <w:r>
        <w:rPr>
          <w:rFonts w:ascii="Times New Roman" w:hAnsi="Times New Roman" w:cs="Times New Roman"/>
          <w:sz w:val="24"/>
          <w:szCs w:val="24"/>
        </w:rPr>
        <w:t>. Право як соціальний феномен. Філософія права.</w:t>
      </w:r>
      <w:r w:rsidR="00900F23">
        <w:rPr>
          <w:rFonts w:ascii="Times New Roman" w:hAnsi="Times New Roman" w:cs="Times New Roman"/>
          <w:sz w:val="24"/>
          <w:szCs w:val="24"/>
        </w:rPr>
        <w:t xml:space="preserve"> Л</w:t>
      </w:r>
      <w:r w:rsidR="00900F23" w:rsidRPr="00900F23">
        <w:rPr>
          <w:rFonts w:ascii="Times New Roman" w:hAnsi="Times New Roman" w:cs="Times New Roman"/>
          <w:sz w:val="24"/>
          <w:szCs w:val="24"/>
        </w:rPr>
        <w:t>юдин</w:t>
      </w:r>
      <w:r w:rsidR="00900F23">
        <w:rPr>
          <w:rFonts w:ascii="Times New Roman" w:hAnsi="Times New Roman" w:cs="Times New Roman"/>
          <w:sz w:val="24"/>
          <w:szCs w:val="24"/>
        </w:rPr>
        <w:t>а</w:t>
      </w:r>
      <w:r w:rsidR="00900F23" w:rsidRPr="00900F23">
        <w:rPr>
          <w:rFonts w:ascii="Times New Roman" w:hAnsi="Times New Roman" w:cs="Times New Roman"/>
          <w:sz w:val="24"/>
          <w:szCs w:val="24"/>
        </w:rPr>
        <w:t xml:space="preserve"> як найвищ</w:t>
      </w:r>
      <w:r w:rsidR="00900F23">
        <w:rPr>
          <w:rFonts w:ascii="Times New Roman" w:hAnsi="Times New Roman" w:cs="Times New Roman"/>
          <w:sz w:val="24"/>
          <w:szCs w:val="24"/>
        </w:rPr>
        <w:t>а</w:t>
      </w:r>
      <w:r w:rsidR="00900F23" w:rsidRPr="00900F23">
        <w:rPr>
          <w:rFonts w:ascii="Times New Roman" w:hAnsi="Times New Roman" w:cs="Times New Roman"/>
          <w:sz w:val="24"/>
          <w:szCs w:val="24"/>
        </w:rPr>
        <w:t xml:space="preserve"> соціальн</w:t>
      </w:r>
      <w:r w:rsidR="00900F23">
        <w:rPr>
          <w:rFonts w:ascii="Times New Roman" w:hAnsi="Times New Roman" w:cs="Times New Roman"/>
          <w:sz w:val="24"/>
          <w:szCs w:val="24"/>
        </w:rPr>
        <w:t>а</w:t>
      </w:r>
      <w:r w:rsidR="00900F23" w:rsidRPr="00900F23">
        <w:rPr>
          <w:rFonts w:ascii="Times New Roman" w:hAnsi="Times New Roman" w:cs="Times New Roman"/>
          <w:sz w:val="24"/>
          <w:szCs w:val="24"/>
        </w:rPr>
        <w:t xml:space="preserve"> цінн</w:t>
      </w:r>
      <w:r w:rsidR="00900F23">
        <w:rPr>
          <w:rFonts w:ascii="Times New Roman" w:hAnsi="Times New Roman" w:cs="Times New Roman"/>
          <w:sz w:val="24"/>
          <w:szCs w:val="24"/>
        </w:rPr>
        <w:t>ість.</w:t>
      </w:r>
      <w:r w:rsidR="00900F23" w:rsidRPr="00900F23">
        <w:rPr>
          <w:rFonts w:ascii="Times New Roman" w:hAnsi="Times New Roman" w:cs="Times New Roman"/>
          <w:sz w:val="24"/>
          <w:szCs w:val="24"/>
        </w:rPr>
        <w:t xml:space="preserve"> </w:t>
      </w:r>
      <w:r w:rsidR="00900F23">
        <w:rPr>
          <w:rFonts w:ascii="Times New Roman" w:hAnsi="Times New Roman" w:cs="Times New Roman"/>
          <w:sz w:val="24"/>
          <w:szCs w:val="24"/>
        </w:rPr>
        <w:t>Правова природа людини.</w:t>
      </w:r>
    </w:p>
    <w:p w14:paraId="5518050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8"/>
        <w:gridCol w:w="736"/>
        <w:gridCol w:w="8"/>
        <w:gridCol w:w="566"/>
        <w:gridCol w:w="54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1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43A3B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7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43A3B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4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43A3B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6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43A3B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43A3B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43A3B">
        <w:trPr>
          <w:gridAfter w:val="2"/>
          <w:wAfter w:w="23" w:type="pct"/>
        </w:trPr>
        <w:tc>
          <w:tcPr>
            <w:tcW w:w="1535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54FE4363" w:rsidR="00E03DBA" w:rsidRPr="001E3D88" w:rsidRDefault="00343A3B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14:paraId="6F9AAF16" w14:textId="20E0F14E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14:paraId="1C3BCA84" w14:textId="7096062A" w:rsidR="00E03DBA" w:rsidRPr="00AF4E03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33BC67BA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5126C2E1" w14:textId="3EBD1687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1C247C31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736609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34D103D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52F50378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14:paraId="53EF3D51" w14:textId="3AE8FCC8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14:paraId="1C1038B3" w14:textId="54256B86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5C42CCF" w14:textId="149A9EB7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31F7DCFD" w14:textId="24B41BB7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DBE0D4" w14:textId="771611C1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0ED5B4EA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4A040153" w:rsidR="00E03DBA" w:rsidRPr="001E3D88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14:paraId="4F5DAA19" w14:textId="3A9ACD85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589B6088" w14:textId="25C67E85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5BD31540" w14:textId="5F2C56D8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BAB89E3" w14:textId="2C980609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929FDE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378A3A9E" w14:textId="49B2E146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074D969A" w:rsidR="00E03DBA" w:rsidRPr="001E3D88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14:paraId="5045FBC6" w14:textId="1CF86A63" w:rsidR="00E03DBA" w:rsidRPr="001E3D88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" w:type="pct"/>
          </w:tcPr>
          <w:p w14:paraId="27D8B718" w14:textId="12561B4D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0B3F61BD" w14:textId="06430BF8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19953AF9" w14:textId="4F93CCD6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B1B3379" w14:textId="430C729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75E2B84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33ED564E" w:rsidR="00E03DBA" w:rsidRPr="001E3D88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14:paraId="5E06B842" w14:textId="4776AC11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14:paraId="42D7966A" w14:textId="2C869B48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313F24D" w14:textId="03DBC72D" w:rsidR="00E03DBA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5F437047" w14:textId="6F109DE4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740E9900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D90CEE6" w14:textId="7426155D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315" w:rsidRPr="0021017A" w14:paraId="7EFD813B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4C35A72B" w:rsidR="00310315" w:rsidRPr="001E3D88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1BFE01EB" w14:textId="517240A6" w:rsidR="00310315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14:paraId="7A9C5661" w14:textId="42FFE522" w:rsidR="00310315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370BF22D" w14:textId="19009F5C" w:rsidR="00310315" w:rsidRPr="001E3D88" w:rsidRDefault="00343A3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60567B71" w14:textId="15B7F1F8" w:rsidR="00310315" w:rsidRPr="001E3D88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C009FC1" w14:textId="6B862EA2" w:rsidR="00310315" w:rsidRPr="001E3D88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3D68612D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66CB965C" w:rsidR="0021017A" w:rsidRPr="001E3D88" w:rsidRDefault="00F02639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79" w:type="pct"/>
            <w:shd w:val="clear" w:color="auto" w:fill="auto"/>
          </w:tcPr>
          <w:p w14:paraId="1B4ADC32" w14:textId="11C5C941" w:rsidR="0021017A" w:rsidRPr="001E3D88" w:rsidRDefault="00F02639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" w:type="pct"/>
          </w:tcPr>
          <w:p w14:paraId="21EE36E5" w14:textId="2D2F94E0" w:rsidR="0021017A" w:rsidRPr="001E3D88" w:rsidRDefault="00F02639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7C9D8422" w14:textId="2D5037CA" w:rsidR="0021017A" w:rsidRPr="001E3D88" w:rsidRDefault="00343A3B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41E300F1" w14:textId="096A56B9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412A28C1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4"/>
          </w:tcPr>
          <w:p w14:paraId="10AE2151" w14:textId="0BDD3AEC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A6059F8" w14:textId="4CCA66F9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021841EC" w:rsidR="0021017A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" w:type="pct"/>
          </w:tcPr>
          <w:p w14:paraId="5AEB2C3A" w14:textId="5CB03BE1" w:rsidR="0021017A" w:rsidRPr="00D87E67" w:rsidRDefault="00343A3B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3CCE463F" w:rsidR="0021017A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" w:type="pct"/>
            <w:gridSpan w:val="4"/>
            <w:shd w:val="clear" w:color="auto" w:fill="auto"/>
          </w:tcPr>
          <w:p w14:paraId="5662A3D4" w14:textId="44240917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09134AA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4F8DAC2E" w:rsidR="0021017A" w:rsidRPr="00731A52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55F6730F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71316DCE" w:rsidR="00581429" w:rsidRPr="00731A52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46674945" w:rsidR="00581429" w:rsidRPr="0021017A" w:rsidRDefault="006554F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295BB65" w14:textId="4CA6323F" w:rsidR="00581429" w:rsidRPr="0021017A" w:rsidRDefault="00343A3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5069B26E" w:rsidR="00581429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26CAB726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2C99E3F3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357D8D13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6512E35B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2E0C619F" w:rsidR="00581429" w:rsidRPr="00731A52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E7E07F1" w14:textId="70D2D32C" w:rsidR="00581429" w:rsidRPr="00731A52" w:rsidRDefault="00343A3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01EF141C" w:rsidR="00581429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53F4B139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49E0E66D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44A15C36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20A8FD44" w14:textId="1A36C9A1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  <w:r w:rsidR="008F7373">
              <w:rPr>
                <w:rFonts w:ascii="Times New Roman" w:hAnsi="Times New Roman" w:cs="Times New Roman"/>
                <w:sz w:val="24"/>
                <w:szCs w:val="24"/>
              </w:rPr>
              <w:t>. Діалектика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11E499DB" w:rsidR="00581429" w:rsidRPr="00731A52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19646E8F" w:rsidR="00581429" w:rsidRPr="0021017A" w:rsidRDefault="00343A3B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62DAD870" w14:textId="4001E116" w:rsidR="00581429" w:rsidRPr="0021017A" w:rsidRDefault="00343A3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4BE32A19" w:rsidR="00581429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0938DA2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6D3FB870" w:rsidR="00581429" w:rsidRPr="00731A52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D88" w:rsidRPr="0021017A" w14:paraId="7D571DC6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42CE5F3E" w14:textId="685F757B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3B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E90" w:rsidRPr="008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373" w:rsidRPr="008F7373">
              <w:rPr>
                <w:rFonts w:ascii="Times New Roman" w:hAnsi="Times New Roman" w:cs="Times New Roman"/>
                <w:sz w:val="24"/>
                <w:szCs w:val="24"/>
              </w:rPr>
              <w:t>Філософія історії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358CF405" w:rsidR="001E3D88" w:rsidRPr="00731A52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196B89C8" w:rsidR="001E3D88" w:rsidRPr="00731A52" w:rsidRDefault="00343A3B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487F4EC5" w14:textId="427CC653" w:rsidR="001E3D88" w:rsidRPr="00731A52" w:rsidRDefault="00343A3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64D2D633" w:rsidR="001E3D88" w:rsidRPr="00731A52" w:rsidRDefault="006554F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50F7A5BB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77AD5DE2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3DBA" w:rsidRPr="0021017A" w14:paraId="7629F918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0D974317" w:rsidR="0021017A" w:rsidRPr="00731A52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2CA8A23B" w:rsidR="0021017A" w:rsidRPr="001E3D88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1B0A3E26" w14:textId="21DF22CE" w:rsidR="0021017A" w:rsidRPr="00581429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151B987F" w:rsidR="0021017A" w:rsidRPr="0021017A" w:rsidRDefault="006554F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3AFB3D0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0A4CAFA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0C3C8F2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479DCFE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343A3B">
        <w:trPr>
          <w:gridAfter w:val="3"/>
          <w:wAfter w:w="26" w:type="pct"/>
        </w:trPr>
        <w:tc>
          <w:tcPr>
            <w:tcW w:w="153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6EC05A8B" w:rsidR="0021017A" w:rsidRPr="0021017A" w:rsidRDefault="006554FD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78AED1BD" w:rsidR="0021017A" w:rsidRPr="001E3D88" w:rsidRDefault="006554F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A76BAEA" w14:textId="7DBA668F" w:rsidR="0021017A" w:rsidRPr="00581429" w:rsidRDefault="006554F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549552FA" w:rsidR="0021017A" w:rsidRPr="0021017A" w:rsidRDefault="006554FD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01934C9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5DC249BA" w:rsidR="0021017A" w:rsidRPr="00731A52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5790816E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536151EB" w:rsidR="0021017A" w:rsidRPr="001E3D88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782123A9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373" w:rsidRPr="0021017A" w14:paraId="56455872" w14:textId="77777777" w:rsidTr="00E03DBA">
        <w:tc>
          <w:tcPr>
            <w:tcW w:w="1003" w:type="dxa"/>
            <w:shd w:val="clear" w:color="auto" w:fill="auto"/>
          </w:tcPr>
          <w:p w14:paraId="4AC8150E" w14:textId="77777777" w:rsidR="008F7373" w:rsidRPr="0021017A" w:rsidRDefault="008F7373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8DC895B" w14:textId="194269D0" w:rsidR="008F7373" w:rsidRPr="00310315" w:rsidRDefault="008F7373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1417" w:type="dxa"/>
            <w:shd w:val="clear" w:color="auto" w:fill="auto"/>
          </w:tcPr>
          <w:p w14:paraId="3F8E6F01" w14:textId="0A608DD2" w:rsidR="008F7373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6B04F2A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2A349CBB" w:rsidR="00E03DBA" w:rsidRPr="0021017A" w:rsidRDefault="00F02639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6F2582BB" w:rsidR="00731A52" w:rsidRPr="00B57E89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373" w:rsidRPr="0021017A" w14:paraId="3420E34A" w14:textId="77777777" w:rsidTr="00E03DBA">
        <w:tc>
          <w:tcPr>
            <w:tcW w:w="1003" w:type="dxa"/>
            <w:shd w:val="clear" w:color="auto" w:fill="auto"/>
          </w:tcPr>
          <w:p w14:paraId="701BBEDB" w14:textId="77777777" w:rsidR="008F7373" w:rsidRPr="0021017A" w:rsidRDefault="008F7373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75BCC9" w14:textId="2F90F9DD" w:rsidR="008F7373" w:rsidRPr="00310315" w:rsidRDefault="008F7373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1417" w:type="dxa"/>
            <w:shd w:val="clear" w:color="auto" w:fill="auto"/>
          </w:tcPr>
          <w:p w14:paraId="06D85426" w14:textId="14B37AEF" w:rsidR="008F7373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7A8EB423" w:rsidR="00731A52" w:rsidRPr="00B57E89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06026DFC" w:rsidR="00731A52" w:rsidRPr="00731A52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75713FCA" w:rsidR="00731A52" w:rsidRPr="00731A52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5F9D24FC" w:rsidR="00731A52" w:rsidRDefault="008F7373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Діалектика</w:t>
            </w:r>
          </w:p>
        </w:tc>
        <w:tc>
          <w:tcPr>
            <w:tcW w:w="1417" w:type="dxa"/>
            <w:shd w:val="clear" w:color="auto" w:fill="auto"/>
          </w:tcPr>
          <w:p w14:paraId="5A1F3283" w14:textId="018704D8" w:rsidR="00731A52" w:rsidRPr="00731A52" w:rsidRDefault="008F7373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F7373" w:rsidRPr="0021017A" w14:paraId="6654884A" w14:textId="77777777" w:rsidTr="00E03DBA">
        <w:tc>
          <w:tcPr>
            <w:tcW w:w="1003" w:type="dxa"/>
            <w:shd w:val="clear" w:color="auto" w:fill="auto"/>
          </w:tcPr>
          <w:p w14:paraId="690651B0" w14:textId="77777777" w:rsidR="008F7373" w:rsidRPr="0021017A" w:rsidRDefault="008F7373" w:rsidP="008F73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278C0B4" w14:textId="43B3CE46" w:rsidR="008F7373" w:rsidRPr="006F6828" w:rsidRDefault="008F7373" w:rsidP="008F73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Соціальне буття та його специфіка.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Філософія історії</w:t>
            </w:r>
          </w:p>
        </w:tc>
        <w:tc>
          <w:tcPr>
            <w:tcW w:w="1417" w:type="dxa"/>
            <w:shd w:val="clear" w:color="auto" w:fill="auto"/>
          </w:tcPr>
          <w:p w14:paraId="5D858537" w14:textId="094B783C" w:rsidR="008F7373" w:rsidRDefault="008F7373" w:rsidP="008F7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F7373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8F7373" w:rsidRPr="0021017A" w:rsidRDefault="008F7373" w:rsidP="008F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8F7373" w:rsidRPr="0021017A" w:rsidRDefault="008F7373" w:rsidP="008F7373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8F7373" w:rsidRPr="00731A52" w:rsidRDefault="008F7373" w:rsidP="008F7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54B28961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6889A740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Гр. Сковороди.</w:t>
      </w:r>
    </w:p>
    <w:p w14:paraId="1C014697" w14:textId="1A977466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"Філософія серця"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2CAA4BA2" w:rsidR="00731A52" w:rsidRPr="007B59A6" w:rsidRDefault="006F682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828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специфіка. Інституційний вимір права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4BEDAF31" w14:textId="7866D738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792E" w14:textId="77777777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C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C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C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C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C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C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CA3C6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CA3C6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CA3C6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D699DF5" w14:textId="77777777" w:rsidR="006B3753" w:rsidRPr="00331B73" w:rsidRDefault="006B3753" w:rsidP="009B586C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2FEFF6FD" w14:textId="2401CDED" w:rsidR="008F10C7" w:rsidRPr="00331B73" w:rsidRDefault="008F10C7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 О. Л. Філософія : підручник. Київ: ВСВ "Медицина", 2013. 224 с.</w:t>
      </w:r>
    </w:p>
    <w:p w14:paraId="45DE6747" w14:textId="15B9926B" w:rsidR="00331B73" w:rsidRPr="00331B73" w:rsidRDefault="00331B73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14:paraId="30102021" w14:textId="7A08FCFD" w:rsidR="00331B73" w:rsidRPr="00331B73" w:rsidRDefault="00331B73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77BD0544" w14:textId="3E85DA2F" w:rsidR="0074274F" w:rsidRPr="00331B73" w:rsidRDefault="009941C7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CB53ECC" w14:textId="251D6248" w:rsidR="0074274F" w:rsidRPr="00331B73" w:rsidRDefault="0074274F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73501AB4" w14:textId="39FE7C38" w:rsidR="008F10C7" w:rsidRPr="00331B73" w:rsidRDefault="008F10C7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284E2EA6" w14:textId="667A2155" w:rsidR="00331B73" w:rsidRPr="00331B73" w:rsidRDefault="00331B73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1C9EE312" w14:textId="63DA5E17" w:rsidR="000209D6" w:rsidRPr="00331B73" w:rsidRDefault="000209D6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 w:rsidR="00331B7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1679E616" w14:textId="32DD636E" w:rsidR="000209D6" w:rsidRPr="00331B73" w:rsidRDefault="000209D6" w:rsidP="00331B73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2B85EAAF" w14:textId="77777777" w:rsidR="006B3753" w:rsidRPr="006B3753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Допоміжна література</w:t>
      </w:r>
    </w:p>
    <w:p w14:paraId="347EFBF1" w14:textId="4CAA1AAF" w:rsidR="008F10C7" w:rsidRPr="008F10C7" w:rsidRDefault="008F10C7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Мозговий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4651F5DE" w14:textId="7445CAB8" w:rsidR="00983569" w:rsidRPr="008F10C7" w:rsidRDefault="00983569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1151F9D6" w14:textId="048EC487" w:rsidR="00983569" w:rsidRPr="008F10C7" w:rsidRDefault="00983569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438B7831" w14:textId="43CA6358" w:rsidR="003753FE" w:rsidRPr="008F10C7" w:rsidRDefault="003753FE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2C84B17E" w14:textId="13D73EA8" w:rsidR="003753FE" w:rsidRPr="008F10C7" w:rsidRDefault="003753FE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3242757E" w14:textId="65ACAD64" w:rsidR="003753FE" w:rsidRPr="008F10C7" w:rsidRDefault="003753FE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14:paraId="2D0FC777" w14:textId="0E496F60" w:rsidR="0074274F" w:rsidRPr="008F10C7" w:rsidRDefault="0074274F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2C2436D8" w14:textId="297FF612" w:rsidR="0074274F" w:rsidRPr="008F10C7" w:rsidRDefault="0074274F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29D5D985" w14:textId="30BF0B60" w:rsidR="0074274F" w:rsidRPr="008F10C7" w:rsidRDefault="0074274F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4C59CBAA" w14:textId="380B7009" w:rsidR="0074274F" w:rsidRPr="008F10C7" w:rsidRDefault="0074274F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144B38BC" w14:textId="38E1DFF7" w:rsidR="0074274F" w:rsidRPr="008F10C7" w:rsidRDefault="0074274F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372024F1" w14:textId="44E4B046" w:rsidR="000209D6" w:rsidRPr="008F10C7" w:rsidRDefault="000209D6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49588FE2" w14:textId="0B64DA87" w:rsidR="000209D6" w:rsidRPr="008F10C7" w:rsidRDefault="000209D6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6ED81C71" w14:textId="17C05A65" w:rsidR="000209D6" w:rsidRPr="008F10C7" w:rsidRDefault="000209D6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3A894E75" w14:textId="09BC5BB4" w:rsidR="008F10C7" w:rsidRPr="008F10C7" w:rsidRDefault="008F10C7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0B8106FF" w14:textId="17ABF2AB" w:rsidR="000209D6" w:rsidRPr="008F10C7" w:rsidRDefault="000209D6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451FF800" w14:textId="723C39C4" w:rsidR="008A66F8" w:rsidRPr="008F10C7" w:rsidRDefault="000209D6" w:rsidP="008F10C7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bookmarkEnd w:id="2"/>
    <w:p w14:paraId="275458A4" w14:textId="1813EEAA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46D6F17" w14:textId="5EF32B9B" w:rsidR="008A66F8" w:rsidRPr="008F10C7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662B3186" w14:textId="0D942815" w:rsidR="008F10C7" w:rsidRPr="008F10C7" w:rsidRDefault="008F10C7" w:rsidP="008F10C7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0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31DCCB33" w14:textId="0734B9B3" w:rsidR="008F10C7" w:rsidRPr="008A66F8" w:rsidRDefault="008F10C7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11" w:history="1">
        <w:r w:rsidRPr="003753D7">
          <w:rPr>
            <w:rStyle w:val="ac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3"/>
    <w:p w14:paraId="3A3D1578" w14:textId="77777777" w:rsidR="008A66F8" w:rsidRPr="008A66F8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sectPr w:rsidR="008A66F8" w:rsidRPr="008A66F8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BC05" w14:textId="77777777" w:rsidR="0062655A" w:rsidRDefault="0062655A" w:rsidP="00C11856">
      <w:pPr>
        <w:spacing w:after="0" w:line="240" w:lineRule="auto"/>
      </w:pPr>
      <w:r>
        <w:separator/>
      </w:r>
    </w:p>
  </w:endnote>
  <w:endnote w:type="continuationSeparator" w:id="0">
    <w:p w14:paraId="07C1F27F" w14:textId="77777777" w:rsidR="0062655A" w:rsidRDefault="0062655A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6270" w14:textId="77777777" w:rsidR="0062655A" w:rsidRDefault="0062655A" w:rsidP="00C11856">
      <w:pPr>
        <w:spacing w:after="0" w:line="240" w:lineRule="auto"/>
      </w:pPr>
      <w:r>
        <w:separator/>
      </w:r>
    </w:p>
  </w:footnote>
  <w:footnote w:type="continuationSeparator" w:id="0">
    <w:p w14:paraId="1A7065D7" w14:textId="77777777" w:rsidR="0062655A" w:rsidRDefault="0062655A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60060B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736CCE0D" w:rsidR="0060060B" w:rsidRPr="00F36365" w:rsidRDefault="0060060B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="009F7279">
            <w:rPr>
              <w:rFonts w:ascii="Times New Roman" w:hAnsi="Times New Roman" w:cs="Times New Roman"/>
              <w:b/>
              <w:sz w:val="16"/>
              <w:szCs w:val="16"/>
            </w:rPr>
            <w:t>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9F7279">
            <w:rPr>
              <w:rFonts w:ascii="Times New Roman" w:hAnsi="Times New Roman" w:cs="Times New Roman"/>
              <w:b/>
              <w:sz w:val="16"/>
              <w:szCs w:val="16"/>
            </w:rPr>
            <w:t>33</w:t>
          </w:r>
          <w:r w:rsidR="0065421E"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ОК</w:t>
          </w:r>
          <w:r w:rsidR="009F7279">
            <w:rPr>
              <w:rFonts w:ascii="Times New Roman" w:hAnsi="Times New Roman" w:cs="Times New Roman"/>
              <w:b/>
              <w:sz w:val="16"/>
              <w:szCs w:val="16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9F7279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</w:p>
      </w:tc>
    </w:tr>
    <w:tr w:rsidR="0060060B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B72A19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60060B" w:rsidRDefault="006006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51FCE"/>
    <w:rsid w:val="00083389"/>
    <w:rsid w:val="000A379B"/>
    <w:rsid w:val="000A38FF"/>
    <w:rsid w:val="000B3EC9"/>
    <w:rsid w:val="000D243F"/>
    <w:rsid w:val="000D5625"/>
    <w:rsid w:val="000F295C"/>
    <w:rsid w:val="000F5DE6"/>
    <w:rsid w:val="001023E7"/>
    <w:rsid w:val="0013152C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566F"/>
    <w:rsid w:val="00240F5E"/>
    <w:rsid w:val="0027438A"/>
    <w:rsid w:val="002C21A7"/>
    <w:rsid w:val="002D3E39"/>
    <w:rsid w:val="002E0D6C"/>
    <w:rsid w:val="002E1F3A"/>
    <w:rsid w:val="002E39BD"/>
    <w:rsid w:val="002E4D20"/>
    <w:rsid w:val="002F346B"/>
    <w:rsid w:val="00310315"/>
    <w:rsid w:val="00317F49"/>
    <w:rsid w:val="00324306"/>
    <w:rsid w:val="00331B73"/>
    <w:rsid w:val="00343A3B"/>
    <w:rsid w:val="00355E63"/>
    <w:rsid w:val="003753FE"/>
    <w:rsid w:val="00393643"/>
    <w:rsid w:val="003A7C2D"/>
    <w:rsid w:val="003B3E90"/>
    <w:rsid w:val="003B4850"/>
    <w:rsid w:val="004176A6"/>
    <w:rsid w:val="00417FBD"/>
    <w:rsid w:val="004241CB"/>
    <w:rsid w:val="00433D46"/>
    <w:rsid w:val="00436206"/>
    <w:rsid w:val="00437863"/>
    <w:rsid w:val="00453998"/>
    <w:rsid w:val="004E732D"/>
    <w:rsid w:val="00543271"/>
    <w:rsid w:val="00561BCB"/>
    <w:rsid w:val="0057203F"/>
    <w:rsid w:val="00581429"/>
    <w:rsid w:val="0059327B"/>
    <w:rsid w:val="005A0AF9"/>
    <w:rsid w:val="005B6129"/>
    <w:rsid w:val="005C4E80"/>
    <w:rsid w:val="005D26DA"/>
    <w:rsid w:val="005F3F51"/>
    <w:rsid w:val="0060060B"/>
    <w:rsid w:val="00606B07"/>
    <w:rsid w:val="0062655A"/>
    <w:rsid w:val="0065421E"/>
    <w:rsid w:val="006554FD"/>
    <w:rsid w:val="00656558"/>
    <w:rsid w:val="00666705"/>
    <w:rsid w:val="00692599"/>
    <w:rsid w:val="006B3753"/>
    <w:rsid w:val="006B58DA"/>
    <w:rsid w:val="006C55C1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782A"/>
    <w:rsid w:val="007B3E87"/>
    <w:rsid w:val="007B59A6"/>
    <w:rsid w:val="007C61E6"/>
    <w:rsid w:val="00840008"/>
    <w:rsid w:val="00886855"/>
    <w:rsid w:val="008A66F8"/>
    <w:rsid w:val="008F10C7"/>
    <w:rsid w:val="008F7373"/>
    <w:rsid w:val="00900F23"/>
    <w:rsid w:val="00913D7F"/>
    <w:rsid w:val="00920940"/>
    <w:rsid w:val="009506A5"/>
    <w:rsid w:val="00957028"/>
    <w:rsid w:val="00973726"/>
    <w:rsid w:val="00983569"/>
    <w:rsid w:val="0098502B"/>
    <w:rsid w:val="009941C7"/>
    <w:rsid w:val="009B1F74"/>
    <w:rsid w:val="009B30D0"/>
    <w:rsid w:val="009B3AE0"/>
    <w:rsid w:val="009B586C"/>
    <w:rsid w:val="009F3944"/>
    <w:rsid w:val="009F7279"/>
    <w:rsid w:val="009F748A"/>
    <w:rsid w:val="00A00785"/>
    <w:rsid w:val="00A02A28"/>
    <w:rsid w:val="00A12734"/>
    <w:rsid w:val="00A1285A"/>
    <w:rsid w:val="00A43B93"/>
    <w:rsid w:val="00A575F0"/>
    <w:rsid w:val="00A83EE8"/>
    <w:rsid w:val="00A9005A"/>
    <w:rsid w:val="00AA42A4"/>
    <w:rsid w:val="00AD5703"/>
    <w:rsid w:val="00AD7562"/>
    <w:rsid w:val="00AF3BC7"/>
    <w:rsid w:val="00AF4E03"/>
    <w:rsid w:val="00AF79B5"/>
    <w:rsid w:val="00B13A69"/>
    <w:rsid w:val="00B53D16"/>
    <w:rsid w:val="00B70FFF"/>
    <w:rsid w:val="00B72A19"/>
    <w:rsid w:val="00B75B84"/>
    <w:rsid w:val="00BE289A"/>
    <w:rsid w:val="00BF27FC"/>
    <w:rsid w:val="00C06923"/>
    <w:rsid w:val="00C07775"/>
    <w:rsid w:val="00C11856"/>
    <w:rsid w:val="00C16D13"/>
    <w:rsid w:val="00C20B68"/>
    <w:rsid w:val="00C2485F"/>
    <w:rsid w:val="00C854D9"/>
    <w:rsid w:val="00C94010"/>
    <w:rsid w:val="00C9658E"/>
    <w:rsid w:val="00CB074D"/>
    <w:rsid w:val="00D14F26"/>
    <w:rsid w:val="00D44E43"/>
    <w:rsid w:val="00D50CE1"/>
    <w:rsid w:val="00D61119"/>
    <w:rsid w:val="00D85905"/>
    <w:rsid w:val="00D87E67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E0437"/>
    <w:rsid w:val="00F02639"/>
    <w:rsid w:val="00F05BA3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nanet.org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bis-nbuv.gov.ua/cgi-bin/irbis_ph/cgiirbis_64.exe?C21COM=F&amp;I21DBN=EC&amp;P21DBN=EC&amp;S21FMT=&amp;S21ALL=&amp;Z21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15763</Words>
  <Characters>8986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Слюсар Вадим Миколайович</cp:lastModifiedBy>
  <cp:revision>3</cp:revision>
  <dcterms:created xsi:type="dcterms:W3CDTF">2023-02-20T07:36:00Z</dcterms:created>
  <dcterms:modified xsi:type="dcterms:W3CDTF">2023-02-20T07:38:00Z</dcterms:modified>
</cp:coreProperties>
</file>