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9F3F" w14:textId="4AD280EA" w:rsidR="00BF6C74" w:rsidRPr="00BF6C74" w:rsidRDefault="00BF6C74" w:rsidP="00BF6C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>Л</w:t>
      </w:r>
      <w:r w:rsidRPr="00BF6C7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>ітература</w:t>
      </w:r>
      <w:proofErr w:type="spellEnd"/>
    </w:p>
    <w:p w14:paraId="73F20A0D" w14:textId="77777777" w:rsidR="00BF6C74" w:rsidRPr="00BF6C74" w:rsidRDefault="00BF6C74" w:rsidP="00BF6C74">
      <w:pPr>
        <w:keepNext/>
        <w:spacing w:after="0" w:line="240" w:lineRule="auto"/>
        <w:ind w:firstLine="600"/>
        <w:jc w:val="center"/>
        <w:outlineLvl w:val="6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uk-UA" w:eastAsia="ru-RU"/>
          <w14:ligatures w14:val="none"/>
        </w:rPr>
      </w:pPr>
    </w:p>
    <w:p w14:paraId="27789095" w14:textId="77777777" w:rsidR="00BF6C74" w:rsidRPr="00BF6C74" w:rsidRDefault="00BF6C74" w:rsidP="00BF6C74">
      <w:pPr>
        <w:keepNext/>
        <w:spacing w:after="0" w:line="240" w:lineRule="auto"/>
        <w:ind w:firstLine="600"/>
        <w:jc w:val="center"/>
        <w:outlineLvl w:val="6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uk-UA" w:eastAsia="ru-RU"/>
          <w14:ligatures w14:val="none"/>
        </w:rPr>
        <w:t>Основна література</w:t>
      </w:r>
    </w:p>
    <w:p w14:paraId="574F6158" w14:textId="77777777" w:rsidR="00BF6C74" w:rsidRPr="00BF6C74" w:rsidRDefault="00BF6C74" w:rsidP="00BF6C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</w:p>
    <w:p w14:paraId="1B56562C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Практичні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аспекти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загальної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навчальний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посібник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/ Т. Ф.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Козловська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О. О. Никифорова –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Кременчук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: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КрНУ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, 2017. – 236 с. </w:t>
      </w:r>
    </w:p>
    <w:p w14:paraId="5A348A5C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Козловська Т. Ф. Загальна токсикологія: теоретичні аспекти [Електронний ресурс] :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навч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посіб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. / Т. Ф. Козловська, О. О. Никифорова. – Кременчук, 2016. – Режим доступу: </w:t>
      </w:r>
      <w:hyperlink r:id="rId5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://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biotech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.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kdu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.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edu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.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ua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/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content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/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metod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/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Toksic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2.</w:t>
        </w:r>
        <w:proofErr w:type="spellStart"/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pdf</w:t>
        </w:r>
        <w:proofErr w:type="spellEnd"/>
      </w:hyperlink>
    </w:p>
    <w:p w14:paraId="2CACC3FD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продуктів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харчування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підручник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Станіслав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Андрійович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Воронов,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Юрій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Богданович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Стецишин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Юрій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Васильович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Панченко,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Ананій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Михайлович Когут ; Нац. ун-т "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Львівська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політехніка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" ; за ред.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Станіслав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Андрійович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Воронов. – 2-ге вид,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допов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</w:t>
      </w:r>
      <w:proofErr w:type="spellStart"/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Львів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Вид-во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Львівської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політехніки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, 2020. – 566 с.</w:t>
      </w:r>
    </w:p>
    <w:p w14:paraId="7AE78F35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Токсикологічна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хімія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харчових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добавок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косметичних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засобів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]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наук.-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допом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бібліогр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покажч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Східноєвроп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нац. ун-т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ім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Лесі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Українки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Ф-т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хімії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фармації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</w:t>
      </w:r>
      <w:proofErr w:type="spellStart"/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Бібліотека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;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уклад. Л. Дейнека. -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текст.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дані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-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Луцьк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, 2020. - 125 назв.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(</w:t>
      </w:r>
      <w:hyperlink r:id="rId6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toxyk_him.pdf</w:t>
        </w:r>
      </w:hyperlink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)</w:t>
      </w:r>
    </w:p>
    <w:p w14:paraId="206DDD57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Лотоцька-Дудик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У. Б. Парадоксальна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токсичність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як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актуальний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напрямок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сучасної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 У. Б.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Лотоцька-Дудик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Н. О. Крупка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Актуальні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проблеми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профілактичної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медицини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зб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наук. пр. / голов. ред. П. Б.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Кузьмінов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Львів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2018. – Вип. 1/2. – С. 8–14. – Режим доступу: </w:t>
      </w:r>
      <w:hyperlink r:id="rId7" w:anchor="page=15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http://appm.meduniv.lviv.ua/images/pdf/16.pdf#page=15</w:t>
        </w:r>
      </w:hyperlink>
    </w:p>
    <w:p w14:paraId="31D11A77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Григор’єва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Л. І.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Основні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поняття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постулати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напрями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досліджень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сучасної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Екологічна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екотоксикологічний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контроль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навч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посіб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.] / Л. І.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Григор’єва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Ю. А.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Томілін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Миколаїв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2015. – С. 12–20. – Режим доступу: </w:t>
      </w:r>
      <w:hyperlink r:id="rId8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://dspace.chmnu.edu.ua/</w:t>
        </w:r>
        <w:proofErr w:type="spellStart"/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handle</w:t>
        </w:r>
        <w:proofErr w:type="spellEnd"/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/123456789/100</w:t>
        </w:r>
      </w:hyperlink>
    </w:p>
    <w:p w14:paraId="3DF10220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Григор’єва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Л. І.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Класифікація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токсикантів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Механізми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токсичної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дії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ксенобіотиків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Фактори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взаємодії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токсиканту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організму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які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визначають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токсичний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ефект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Екологічна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екотоксикологічний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контроль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навч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посіб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.] / Л. І.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Григор’єва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Ю. А.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Томілін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Миколаїв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2015. – С. 29–34 ; 56–63. – Режим доступу: </w:t>
      </w:r>
      <w:hyperlink r:id="rId9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http://dspace.chmnu.edu.ua/handle/123456789/100</w:t>
        </w:r>
      </w:hyperlink>
    </w:p>
    <w:p w14:paraId="61EB569F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Екологічна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навчально-методичний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посібник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/ Мирослава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Петровська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</w:t>
      </w:r>
      <w:proofErr w:type="spellStart"/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Львів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ЛНУ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імені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Івана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Франка, 2014. – 116 с.</w:t>
      </w:r>
    </w:p>
    <w:p w14:paraId="1C66F92A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Фрумин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Г.Т.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Екологічна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(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екотоксикологія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). Курс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лекцій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-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СПб .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: РГГМУ, 2013. - 179 с.</w:t>
      </w:r>
    </w:p>
    <w:p w14:paraId="35718D36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Снітинський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В.В.,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Хірівський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П.Р.,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Гнатів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П.С.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ін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Екотоксикологія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Навчальний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посібник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–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Херсон: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Олді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-плюс, 2011.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–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330 с.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–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ISBN 978-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lastRenderedPageBreak/>
        <w:t>966-2393-21-7.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– Режим  доступу: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https://geography.lnu.edu.ua/wp-content/uploads/2015/02/Book_ECOTOXICOLOGY.pdf</w:t>
      </w:r>
    </w:p>
    <w:p w14:paraId="604318FF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Гандзюра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В.П.,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Грубінко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В.В.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Концепція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шкодочинності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Монографія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Київ-Тернопіль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: Вид-во ТНПУ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ім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В. Гнатюка, 2008. – 144 с. </w:t>
      </w:r>
    </w:p>
    <w:p w14:paraId="0922DA50" w14:textId="77777777" w:rsidR="00BF6C74" w:rsidRPr="00BF6C74" w:rsidRDefault="00BF6C74" w:rsidP="00BF6C7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Трахтенберг І. М.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: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зміст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і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завдання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// Книга про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отрути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та </w:t>
      </w:r>
      <w:proofErr w:type="spellStart"/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отруєння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Нариси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: пер. з рос. / І. М. Трахтенберг. –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Тернопіль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2008. – С. 301–318. – Режим доступу: </w:t>
      </w:r>
      <w:hyperlink r:id="rId10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https://repository.tdmu.edu.ua/handle/1/8588</w:t>
        </w:r>
      </w:hyperlink>
    </w:p>
    <w:p w14:paraId="191DE337" w14:textId="77777777" w:rsidR="00BF6C74" w:rsidRPr="00BF6C74" w:rsidRDefault="00BF6C74" w:rsidP="00BF6C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</w:p>
    <w:p w14:paraId="2AA278A4" w14:textId="77777777" w:rsidR="00BF6C74" w:rsidRPr="00BF6C74" w:rsidRDefault="00BF6C74" w:rsidP="00BF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val="uk-UA" w:eastAsia="ru-RU"/>
          <w14:ligatures w14:val="none"/>
        </w:rPr>
        <w:t>Допоміжна література</w:t>
      </w:r>
      <w:r w:rsidRPr="00BF6C74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val="ru-RU" w:eastAsia="ru-RU"/>
          <w14:ligatures w14:val="none"/>
        </w:rPr>
        <w:t>:</w:t>
      </w:r>
    </w:p>
    <w:p w14:paraId="35FB063E" w14:textId="77777777" w:rsidR="00BF6C74" w:rsidRPr="00BF6C74" w:rsidRDefault="00BF6C74" w:rsidP="00BF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val="ru-RU" w:eastAsia="ru-RU"/>
          <w14:ligatures w14:val="none"/>
        </w:rPr>
      </w:pPr>
    </w:p>
    <w:p w14:paraId="7A2B4A1E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Методичні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рекомендації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для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проведення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практичних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робіт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самостійного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вивчення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навчальної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дисципліни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«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Екологічна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токсикологія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» для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студентів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освітнього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рівня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«Бакалавр»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денної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форми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навчання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із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спеціальності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101 «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Екологія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» та 183 «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Технології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захисту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навколишнього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середовища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» (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автори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: Курбет Т.В., Мельник В.В.), 2019. 62 с.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Електронне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видання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. (Протокол НМР №1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 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28.02.2019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 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р.).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Режим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 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 xml:space="preserve"> доступу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UA" w:eastAsia="ru-RU"/>
          <w14:ligatures w14:val="none"/>
        </w:rPr>
        <w:t>: https://learn.ztu.edu.ua/pluginfile.php/52472/mod_resource/content/2/%D0%9C%D0%B5%D1%82%D0%BE%D0%B4%D0%B8%D1%87%D0%BA%D0%B0%20%D0%95%D0%BA%D0%BE%D0%BB%D0%BE%D0%B3%D1%96%D1%87%D0%BD%D0%B0%20%D1%82%D0%BE%D0%BA%D1%81%D0%B8%D0%BA%D0%BE%D0%BB%D0%BE%D0%B3%D1%96%D1%8F.pdf</w:t>
      </w:r>
    </w:p>
    <w:p w14:paraId="69C759AE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Жуковський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О. В., Краснов В. П., Курбет Т. В., Шелест З. М.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Особливості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сучасного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радіоактивного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забруднення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лісів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Волинського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Житомирського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Полісся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Лісівництво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і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агролісомеліорація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2023. Вип. 142. С.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106 – 115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.</w:t>
      </w:r>
    </w:p>
    <w:p w14:paraId="1FC860EC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Krasnov V.P., Orlov O.O.,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Zborovska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 O.V., Zhukovsky O.V., Kurbet T.V., Shelest Z.M., Davydova I.V.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val="en-US" w:eastAsia="ru-RU"/>
          <w14:ligatures w14:val="none"/>
        </w:rPr>
        <w:t>137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Cs content in European blueberry (vaccinium myrtillus L.) in forests of Ukrainian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polissia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 in different periods after the accident at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ChNPP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. Nuclear Physics and Atomic Energy. 2018. Vol. 19,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Iss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. 4. P. 383–391. DOI: 10.15407/jnpae2018.04.383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. (</w:t>
      </w:r>
      <w:hyperlink r:id="rId11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http://jnpae.kinr.kiev.ua/19.4/html/19.4.0383.html</w:t>
        </w:r>
      </w:hyperlink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)</w:t>
      </w:r>
    </w:p>
    <w:p w14:paraId="653B091C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Краснов В.П., Курбет Т.В., Давидова І.В., Шелест З.М., Жуковський О.В., Іванюк І.Д. Динаміка вмісту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val="uk-UA" w:eastAsia="ru-RU"/>
          <w14:ligatures w14:val="none"/>
        </w:rPr>
        <w:t>137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Cs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у корі крушини ламкої (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Frangula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almus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Mill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.) у лісах Полісся України Журнал «Ядерна фізика та енергетика». 2018. Т. 19. №3. С. 258–264. (</w:t>
      </w:r>
      <w:hyperlink r:id="rId12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http://jnpae.kinr.kiev.ua/19.3/html/19.3.0258.html</w:t>
        </w:r>
      </w:hyperlink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) </w:t>
      </w:r>
    </w:p>
    <w:p w14:paraId="24D96D09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Krasnov V.P.,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Melnik V.V., Kurbet T.V., Zhukovsky O.V.,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Zborovska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 O.V., Orlov O.O. Dynamics of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val="en-US" w:eastAsia="ru-RU"/>
          <w14:ligatures w14:val="none"/>
        </w:rPr>
        <w:t>137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Cs specific activity in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Convalaria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Majalis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 L. in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Polissia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 forests of Ukraine after the accident at Chornobyl nuclear power plant. Nuclear Physics and Atomic Energy. 2019. Vol. 20,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Iss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. 3. P. 278–284.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lastRenderedPageBreak/>
        <w:t>DOI: 10.15407/jnpae2019.03.278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(</w:t>
      </w:r>
      <w:hyperlink r:id="rId13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http://jnpae.kinr.kiev.ua/20.3/html/20.3.0278.html</w:t>
        </w:r>
      </w:hyperlink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) </w:t>
      </w:r>
    </w:p>
    <w:p w14:paraId="4438C165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Melnyk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V., Kurbet T.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Сurrent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distribution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of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val="uk-UA" w:eastAsia="ru-RU"/>
          <w14:ligatures w14:val="none"/>
        </w:rPr>
        <w:t>137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Сs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in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sod-podzolic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soils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of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different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types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of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forest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conditions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Eastern-European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Journal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of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Enterprise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Technologies. 2018. №. 5/10(95). Р. 65–71.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 (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http://journals.uran.ua/eejet/article/view/142613)</w:t>
      </w:r>
    </w:p>
    <w:p w14:paraId="50601256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Melnyk, V., Kurbet, T., Shelest, Z., Davydova, I. Soil sampling when examining forests for radioactive contamination. Eastern-European Journal of Enterprise Technologies, 2020, 4(10-106),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стр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 xml:space="preserve">. 6–17 (http://journals.uran.ua/eejet/article/view/209873) </w:t>
      </w:r>
    </w:p>
    <w:p w14:paraId="10AC547F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Мельник В. В., Курбет Т. В.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Швиденко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І. К.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Накопичення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val="ru-RU" w:eastAsia="ru-RU"/>
          <w14:ligatures w14:val="none"/>
        </w:rPr>
        <w:t>137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Сs у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рослинах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трав’яно-чагарничкового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ярусу в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умовах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вологих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суборів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Українського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Полісся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Агроекологічний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журнал. 2019, №1. С. 42–49.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(http://journalagroeco.org.ua/article/view/163250)</w:t>
      </w:r>
    </w:p>
    <w:p w14:paraId="3E324B27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Краснов В.П., Курбет Т.В., Мельник В.В., Давидова І.В., О.В.,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Зборовська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О.В. Зміна вмісту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val="uk-UA" w:eastAsia="ru-RU"/>
          <w14:ligatures w14:val="none"/>
        </w:rPr>
        <w:t>137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Сs у корі крушини ламкої (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Frangula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alnus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Mill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.) у вологих суборах лісів Полісся України з часу аварії на ЧАЕС. Науковий вісник НЛТУ України. 2019.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Вип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. 29.6. С. 67–70. (</w:t>
      </w:r>
      <w:hyperlink r:id="rId14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https://nv.nltu.edu.ua/index.php/journal/article/view/1970</w:t>
        </w:r>
      </w:hyperlink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)</w:t>
      </w:r>
    </w:p>
    <w:p w14:paraId="2A79E7CB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Краснов В.П., Орлов О.О., Жуковський О.В.,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Зборовська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О.В., Курбет Т.В., Мельник В.В., Шелест З.М. Радіоактивне забруднення конвалії звичайної (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Convallaria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majalis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L.) у лісах Житомирського Полісся. Науковий вісник НЛТУ України. 2019.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Вип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. 29. Т. 9. С. 60–64. (</w:t>
      </w:r>
      <w:hyperlink r:id="rId15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https://nv.nltu.edu.ua/index.php/journal/article/view/2072</w:t>
        </w:r>
      </w:hyperlink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)</w:t>
      </w:r>
    </w:p>
    <w:p w14:paraId="21BE1B4F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Краснов В.П., Орлов О.О., Жуковський О.В.,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Гулик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І.Т., Курбет Т.В., Корбут М.Б., Давидова І.В., Мельник В.В. Зміна вмісту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val="uk-UA" w:eastAsia="ru-RU"/>
          <w14:ligatures w14:val="none"/>
        </w:rPr>
        <w:t>137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Сs у чорниці (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Vaccinium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myrtillus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L.) у лісах Полісся України з часу аварії на ЧАЕС. Науковий вісник НЛТУ України. 2020.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Вип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. 30. Т. 2. С. 49–54. (</w:t>
      </w:r>
      <w:hyperlink r:id="rId16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https://nv.nltu.edu.ua/index.php/journal/article/view/2151</w:t>
        </w:r>
      </w:hyperlink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)</w:t>
      </w:r>
    </w:p>
    <w:p w14:paraId="152A60E5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Мельник В.В., Курбет Т.В. Радіоактивне забруднення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val="uk-UA" w:eastAsia="ru-RU"/>
          <w14:ligatures w14:val="none"/>
        </w:rPr>
        <w:t>137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Cs наземної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фітомаси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брусниці в умовах свіжого бору Українського Полісся. Тези ХІV Всеукраїнської наукової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on-line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конференції здобувачів вищої освіти і молодих учених з міжнародною участю «Сучасні проблеми екології», 15 березня 2018 р. Житомир: ЖДТУ, 2018. С. 41. (https://conf.ztu.edu.ua/wp-content/uploads/2018/04/41-1.pdf)</w:t>
      </w:r>
    </w:p>
    <w:p w14:paraId="15D3F7B4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Трахтенберг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І. М. Свинець – небезпечний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полютант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. Проблема стара і нова [Електронний ресурс] / І. М.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Трахтенберг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, Н. М.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Дмитруха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, С. П.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Луговський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, І. С.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Чекман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, В. О.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Купрій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, А. М. Дорошенко // Сучасні проблеми токсикології, харчової та хімічної безпеки. - 2015. - № 3. - С. 14-24. - Режим доступу: </w:t>
      </w:r>
      <w:hyperlink r:id="rId17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://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nbuv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.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gov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.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ua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/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UJRN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/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spt</w:t>
        </w:r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uk-UA" w:eastAsia="ru-RU"/>
            <w14:ligatures w14:val="none"/>
          </w:rPr>
          <w:t>_2015_3_4</w:t>
        </w:r>
      </w:hyperlink>
    </w:p>
    <w:p w14:paraId="7FD264F1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Предмет токсикологічної хімії харчових продуктів та косметичних засобів. Історія виникнення та становлення токсикології. Поняття про основні небезпеки отруєння харчового походження [Електронний ресурс] // Токсикологічна хімія харчових продуктів та косметичних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lastRenderedPageBreak/>
        <w:t xml:space="preserve">засобів : підручник / за ред. проф. 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С. А. Воронова. -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Львів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2010. – С. 11–20. – Режим доступу: </w:t>
      </w:r>
      <w:hyperlink r:id="rId18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http://194.44.152.155/elib/local/r520.pdf</w:t>
        </w:r>
      </w:hyperlink>
    </w:p>
    <w:p w14:paraId="4577665D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Смоляр В. І.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Розвиток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харчової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 В. І. Смоляр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Проблеми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харчування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2010. – № 1/2. – С. 67–70. – Режим доступу: </w:t>
      </w:r>
      <w:hyperlink r:id="rId19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http://medved.kiev.ua/web_journals/arhiv/nutrition/2010/1-2_10/str67.pdf</w:t>
        </w:r>
      </w:hyperlink>
    </w:p>
    <w:p w14:paraId="109EDE85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Гандзюра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В.П.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Продуктивність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біосистем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за токсичного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забруднення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середовища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важкими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металами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Київ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: ВГЛ “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Обрії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”, 2002. – 248 с. </w:t>
      </w:r>
    </w:p>
    <w:p w14:paraId="39CB5AE6" w14:textId="77777777" w:rsidR="00BF6C74" w:rsidRPr="00BF6C74" w:rsidRDefault="00BF6C74" w:rsidP="00BF6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Скопецька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О.В.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Еколого-фізіологічна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оцінка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свинцевого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навантаження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</w:t>
      </w: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системі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“грунт-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рослина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”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прогнозування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ступеня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забруднення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агроценозів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: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Автореф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дис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....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канд.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біол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наук.– К., 2001.– 20 с. </w:t>
      </w:r>
    </w:p>
    <w:p w14:paraId="496B0771" w14:textId="77777777" w:rsidR="00BF6C74" w:rsidRPr="00BF6C74" w:rsidRDefault="00BF6C74" w:rsidP="00BF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</w:pPr>
    </w:p>
    <w:p w14:paraId="2A094462" w14:textId="77777777" w:rsidR="00BF6C74" w:rsidRPr="00BF6C74" w:rsidRDefault="00BF6C74" w:rsidP="00BF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  <w:t>12. </w:t>
      </w:r>
      <w:proofErr w:type="spellStart"/>
      <w:r w:rsidRPr="00BF6C74"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  <w:t>Інформаційні</w:t>
      </w:r>
      <w:proofErr w:type="spellEnd"/>
      <w:r w:rsidRPr="00BF6C74"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  <w:t>ресурси</w:t>
      </w:r>
      <w:proofErr w:type="spellEnd"/>
      <w:r w:rsidRPr="00BF6C74"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  <w:t xml:space="preserve"> в </w:t>
      </w:r>
      <w:proofErr w:type="spellStart"/>
      <w:r w:rsidRPr="00BF6C74"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  <w:t>Інтернеті</w:t>
      </w:r>
      <w:proofErr w:type="spellEnd"/>
    </w:p>
    <w:p w14:paraId="40911E45" w14:textId="77777777" w:rsidR="00BF6C74" w:rsidRPr="00BF6C74" w:rsidRDefault="00BF6C74" w:rsidP="00BF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</w:pPr>
    </w:p>
    <w:p w14:paraId="1A431F86" w14:textId="77777777" w:rsidR="00BF6C74" w:rsidRPr="00BF6C74" w:rsidRDefault="00BF6C74" w:rsidP="00BF6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Гошовська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Т. Т.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Нітрати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 продуктах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харчування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 Т. Г.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Гошовська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Т. М.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Красільнікова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Інновації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у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сфері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поводження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з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відходами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: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досвід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та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практика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матеріали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наук.-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практ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конф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., 16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квіт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2019 р. –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Київ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2019. – С. 59–61. – Режим доступу: </w:t>
      </w:r>
      <w:hyperlink r:id="rId20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http://enpuir.npu.edu.ua/handle/123456789/24454</w:t>
        </w:r>
      </w:hyperlink>
    </w:p>
    <w:p w14:paraId="1C1D2515" w14:textId="77777777" w:rsidR="00BF6C74" w:rsidRPr="00BF6C74" w:rsidRDefault="00BF6C74" w:rsidP="00BF6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Панасенко Т. В.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Вміст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нітрат-іонів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 продуктах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харчування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рослинного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походження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 Т. В. Панасенко, К. І.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Красноруцька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Актуальні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питання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біології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екології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та </w:t>
      </w:r>
      <w:proofErr w:type="spellStart"/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хімії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: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наук.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фах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вид. 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Запоріз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нац. ун-т. –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Запоріжжя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- 2016. - Т. 12, № 2. - С.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123-112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- Режим доступу: </w:t>
      </w:r>
      <w:hyperlink r:id="rId21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http://nbuv.gov.ua/UJRN/apd_2016_12_2_13</w:t>
        </w:r>
      </w:hyperlink>
    </w:p>
    <w:p w14:paraId="25246275" w14:textId="77777777" w:rsidR="00BF6C74" w:rsidRPr="00BF6C74" w:rsidRDefault="00BF6C74" w:rsidP="00BF6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Гуньков С. В.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Сучасні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підходи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щодо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статистичної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обробки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результатів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епідеміологічних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досліджень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при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визначенні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макро-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мікроелементів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і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токсичних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речовин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організмі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людини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 С. В. Гуньков, М. Г.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Проданчук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Г. М.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Проданчук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Н. М.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Бубало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В. О. Вихор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Сучасні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проблеми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харчової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хімічної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безпеки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- 2015. - № 3. - С.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65-70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- Режим доступу: </w:t>
      </w:r>
      <w:hyperlink r:id="rId22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http://nbuv.gov.ua/UJRN/spt_2015_3_10</w:t>
        </w:r>
      </w:hyperlink>
    </w:p>
    <w:p w14:paraId="7FE1F572" w14:textId="77777777" w:rsidR="00BF6C74" w:rsidRPr="00BF6C74" w:rsidRDefault="00BF6C74" w:rsidP="00BF6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Балан Г. М. Причини, структура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клінічні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синдроми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гострих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отруєнь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пестицидами у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працівників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сільського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господарства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умовах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його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реформування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 Г. М. Балан, О. А. Харченко, Н. М.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Бубало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Сучасні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проблеми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токсикології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харчової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хімічної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безпеки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- 2013. - № 4. - С.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22-29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- Режим доступу: </w:t>
      </w:r>
      <w:hyperlink r:id="rId23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http://nbuv.gov.ua/UJRN/spt_2013_4_5</w:t>
        </w:r>
      </w:hyperlink>
    </w:p>
    <w:p w14:paraId="1A92198B" w14:textId="77777777" w:rsidR="00BF6C74" w:rsidRPr="00BF6C74" w:rsidRDefault="00BF6C74" w:rsidP="00BF6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Смоляр В. І.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Сучасні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проблеми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харчових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добавок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 В. І. Смоляр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Проблеми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харчування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2009. – № ½. – С.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5– 13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Режим доступу: </w:t>
      </w:r>
      <w:hyperlink r:id="rId24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http://medved.kiev.ua/web_journals/arhiv/nutrition/2009/1-2_09/str05.pdf</w:t>
        </w:r>
      </w:hyperlink>
    </w:p>
    <w:p w14:paraId="71EA982C" w14:textId="77777777" w:rsidR="00BF6C74" w:rsidRPr="00BF6C74" w:rsidRDefault="00BF6C74" w:rsidP="00BF6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Штабський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Б. М. Нормативна база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ксенобіотиків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і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токсигенний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ризик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(проблема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надійності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ГДК)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 Б.М.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Штабський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М.Р.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Гжегоцький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Актуальні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проблеми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транспортної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медицини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2005. – № 1. – С.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41-45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–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Бібліогр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.: 18 назв. – Режим доступу: </w:t>
      </w:r>
      <w:hyperlink r:id="rId25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http://dspace.nbuv.gov.ua/handle/123456789/20960</w:t>
        </w:r>
      </w:hyperlink>
    </w:p>
    <w:p w14:paraId="4FDCD668" w14:textId="77777777" w:rsidR="00BF6C74" w:rsidRPr="00BF6C74" w:rsidRDefault="00BF6C74" w:rsidP="00BF6C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lastRenderedPageBreak/>
        <w:t>Грішина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І.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Визначення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вмісту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нітратів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в соках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овочів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[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Електронний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ресурс] 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Грішина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І. //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Матеріали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ІІ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Всеукр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студент. наук.-техн.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конф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. „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Природничі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та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гуманітарні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науки.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Актуальні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питання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“, </w:t>
      </w:r>
      <w:proofErr w:type="gram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23-24</w:t>
      </w:r>
      <w:proofErr w:type="gram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квіт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. 2009 р. – </w:t>
      </w:r>
      <w:proofErr w:type="spellStart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Тернопіль</w:t>
      </w:r>
      <w:proofErr w:type="spellEnd"/>
      <w:r w:rsidRPr="00BF6C74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, 2009. – Том 1. – С. 275. – Режим доступу: </w:t>
      </w:r>
      <w:hyperlink r:id="rId26" w:history="1">
        <w:r w:rsidRPr="00BF6C74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ru-RU" w:eastAsia="ru-RU"/>
            <w14:ligatures w14:val="none"/>
          </w:rPr>
          <w:t>http://elartu.tntu.edu.ua/handle/123456789/14728</w:t>
        </w:r>
      </w:hyperlink>
    </w:p>
    <w:p w14:paraId="6E6E7AEC" w14:textId="77777777" w:rsidR="00BF6C74" w:rsidRPr="00BF6C74" w:rsidRDefault="00BF6C74">
      <w:pPr>
        <w:rPr>
          <w:lang w:val="ru-RU"/>
        </w:rPr>
      </w:pPr>
    </w:p>
    <w:sectPr w:rsidR="00BF6C74" w:rsidRPr="00BF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4C2"/>
    <w:multiLevelType w:val="hybridMultilevel"/>
    <w:tmpl w:val="1804D242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562AC"/>
    <w:multiLevelType w:val="hybridMultilevel"/>
    <w:tmpl w:val="3B36D54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2D3B"/>
    <w:multiLevelType w:val="hybridMultilevel"/>
    <w:tmpl w:val="CB6EDE8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001974">
    <w:abstractNumId w:val="1"/>
  </w:num>
  <w:num w:numId="2" w16cid:durableId="432241290">
    <w:abstractNumId w:val="2"/>
  </w:num>
  <w:num w:numId="3" w16cid:durableId="138636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74"/>
    <w:rsid w:val="00B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AD90"/>
  <w15:chartTrackingRefBased/>
  <w15:docId w15:val="{ED3C17EB-DF4F-4AC4-9212-32E5751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chmnu.edu.ua/handle/123456789/100" TargetMode="External"/><Relationship Id="rId13" Type="http://schemas.openxmlformats.org/officeDocument/2006/relationships/hyperlink" Target="http://jnpae.kinr.kiev.ua/20.3/html/20.3.0278.html" TargetMode="External"/><Relationship Id="rId18" Type="http://schemas.openxmlformats.org/officeDocument/2006/relationships/hyperlink" Target="http://194.44.152.155/elib/local/r520.pdf" TargetMode="External"/><Relationship Id="rId26" Type="http://schemas.openxmlformats.org/officeDocument/2006/relationships/hyperlink" Target="http://elartu.tntu.edu.ua/handle/123456789/147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buv.gov.ua/UJRN/apd_2016_12_2_13" TargetMode="External"/><Relationship Id="rId7" Type="http://schemas.openxmlformats.org/officeDocument/2006/relationships/hyperlink" Target="http://appm.meduniv.lviv.ua/images/pdf/16.pdf" TargetMode="External"/><Relationship Id="rId12" Type="http://schemas.openxmlformats.org/officeDocument/2006/relationships/hyperlink" Target="http://jnpae.kinr.kiev.ua/19.3/html/19.3.0258.html" TargetMode="External"/><Relationship Id="rId17" Type="http://schemas.openxmlformats.org/officeDocument/2006/relationships/hyperlink" Target="http://nbuv.gov.ua/UJRN/spt_2015_3_4" TargetMode="External"/><Relationship Id="rId25" Type="http://schemas.openxmlformats.org/officeDocument/2006/relationships/hyperlink" Target="http://dspace.nbuv.gov.ua/handle/123456789/209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v.nltu.edu.ua/index.php/journal/article/view/2151" TargetMode="External"/><Relationship Id="rId20" Type="http://schemas.openxmlformats.org/officeDocument/2006/relationships/hyperlink" Target="http://enpuir.npu.edu.ua/handle/123456789/244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4.44.187.2/eljourn/1/toxyk_him.pdf" TargetMode="External"/><Relationship Id="rId11" Type="http://schemas.openxmlformats.org/officeDocument/2006/relationships/hyperlink" Target="http://jnpae.kinr.kiev.ua/19.4/html/19.4.0383.html" TargetMode="External"/><Relationship Id="rId24" Type="http://schemas.openxmlformats.org/officeDocument/2006/relationships/hyperlink" Target="http://medved.kiev.ua/web_journals/arhiv/nutrition/2009/1-2_09/str05.pdf" TargetMode="External"/><Relationship Id="rId5" Type="http://schemas.openxmlformats.org/officeDocument/2006/relationships/hyperlink" Target="http://biotech.kdu.edu.ua/content/metod/Toksic2.pdf" TargetMode="External"/><Relationship Id="rId15" Type="http://schemas.openxmlformats.org/officeDocument/2006/relationships/hyperlink" Target="https://nv.nltu.edu.ua/index.php/journal/article/view/2072" TargetMode="External"/><Relationship Id="rId23" Type="http://schemas.openxmlformats.org/officeDocument/2006/relationships/hyperlink" Target="http://nbuv.gov.ua/UJRN/spt_2013_4_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pository.tdmu.edu.ua/handle/1/8588" TargetMode="External"/><Relationship Id="rId19" Type="http://schemas.openxmlformats.org/officeDocument/2006/relationships/hyperlink" Target="http://medved.kiev.ua/web_journals/arhiv/nutrition/2010/1-2_10/str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chmnu.edu.ua/handle/123456789/100" TargetMode="External"/><Relationship Id="rId14" Type="http://schemas.openxmlformats.org/officeDocument/2006/relationships/hyperlink" Target="https://nv.nltu.edu.ua/index.php/journal/article/view/1970" TargetMode="External"/><Relationship Id="rId22" Type="http://schemas.openxmlformats.org/officeDocument/2006/relationships/hyperlink" Target="http://nbuv.gov.ua/UJRN/spt_2015_3_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Kurbet</dc:creator>
  <cp:keywords/>
  <dc:description/>
  <cp:lastModifiedBy>Tatiana Kurbet</cp:lastModifiedBy>
  <cp:revision>1</cp:revision>
  <dcterms:created xsi:type="dcterms:W3CDTF">2024-01-31T12:07:00Z</dcterms:created>
  <dcterms:modified xsi:type="dcterms:W3CDTF">2024-01-31T12:08:00Z</dcterms:modified>
</cp:coreProperties>
</file>