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bookmarkStart w:id="0" w:name="_page_103_0"/>
      <w:bookmarkStart w:id="1" w:name="_GoBack"/>
      <w:bookmarkEnd w:id="1"/>
      <w:r w:rsidRPr="00557253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ТЕМА 3. КОМУНІКАТИВНІСТЬ ТА КОМУНІКАБЕЛЬНІСТЬ</w:t>
      </w:r>
    </w:p>
    <w:p w:rsidR="00557253" w:rsidRPr="00557253" w:rsidRDefault="00557253" w:rsidP="00557253">
      <w:pPr>
        <w:spacing w:line="288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1. Спілкування як комунікація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Уся система ставлення людини до інших людей реалізується у спілкуванні. Потреба у спілкуванні є однією з первинних потреб людини. Одним із структурних компонентів спілкування вважають комунікацію. Семантично «спілкування» і «комунікація» майже збігаються, бо означають «спільність», «з'єднання», «повідомлення».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Комунікація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(лат. </w:t>
      </w:r>
      <w:proofErr w:type="spellStart"/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communico</w:t>
      </w:r>
      <w:proofErr w:type="spellEnd"/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— спілкуюсь з кимось) — це взаємодія між людьми, під час якої відбувається обмін думками, інформацією, формується ставлення до отриманої інформації, що сприяє взаєморозумінню.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Метою комунікації є обмін інформацією, досягнення взаєморозуміння чи забезпечення взаємодії. Людина може жити і діяти тільки в оточенні інших людей, разом з якими виконує певні соціальні ролі, вступає у різні види спілкування.</w:t>
      </w:r>
    </w:p>
    <w:p w:rsidR="00557253" w:rsidRPr="00557253" w:rsidRDefault="00557253" w:rsidP="00557253">
      <w:pPr>
        <w:widowControl w:val="0"/>
        <w:tabs>
          <w:tab w:val="left" w:pos="2785"/>
          <w:tab w:val="left" w:pos="3363"/>
          <w:tab w:val="left" w:pos="6123"/>
          <w:tab w:val="left" w:pos="7473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Особливе місце комунікація посідає в професійній діяльності фахівців фармацевтичної галузі: фармацевтів, провізорів, провізорів-косметологів, клінічних провізорів. Як свідчить статистика, від 60% до 90% робочого часу вони витрачають на ті чи інші види професійного спілкування. Від того, наскільки вони вміло побудують своє спілкування з відвідувачами аптек, лікарями, хворими, колегами, партнерами, залежить результат їхньої професійної діяльності, взаємовідносини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представниками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різних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фармацевтичних організацій, аптечних закладів, психологічний клімат у колективі.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Предметом комунікації працівників фармацевтичної галузі є інформація про лікарські засоби. Для найбільшої ефективності</w:t>
      </w:r>
      <w:bookmarkStart w:id="2" w:name="_page_105_0"/>
      <w:bookmarkEnd w:id="0"/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комунікативного процесу дуже важливий як прямий, так і зворотний зв'язок між аптечним закладом і відвідувачами.</w:t>
      </w:r>
    </w:p>
    <w:p w:rsidR="00557253" w:rsidRPr="00557253" w:rsidRDefault="00557253" w:rsidP="00557253">
      <w:pPr>
        <w:widowControl w:val="0"/>
        <w:tabs>
          <w:tab w:val="left" w:pos="1440"/>
          <w:tab w:val="left" w:pos="3803"/>
          <w:tab w:val="left" w:pos="5934"/>
          <w:tab w:val="left" w:pos="9148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У соціальному аспекті на рівні аптечного закладу комунікація виконує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інформаційну,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інтеграційну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та </w:t>
      </w:r>
      <w:proofErr w:type="spellStart"/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переконувальну</w:t>
      </w:r>
      <w:proofErr w:type="spellEnd"/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роль. Усередині аптечного закладу певну роль відіграє розподіл повноважень між працівниками аптеки, що формує правила комунікації.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У комунікативному процесі фахівці фармацевтичної галузі використовують інформацію, яку можна зрозуміти та інтерпретувати за допомогою мови.</w:t>
      </w:r>
    </w:p>
    <w:p w:rsidR="00557253" w:rsidRPr="00557253" w:rsidRDefault="00557253" w:rsidP="00557253">
      <w:pPr>
        <w:widowControl w:val="0"/>
        <w:tabs>
          <w:tab w:val="left" w:pos="1492"/>
          <w:tab w:val="left" w:pos="1950"/>
          <w:tab w:val="left" w:pos="4433"/>
          <w:tab w:val="left" w:pos="6103"/>
          <w:tab w:val="left" w:pos="8286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Ефективна комунікаціє забезпечує просування у розв'язуванні проблем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використанням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найбільш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оптимальних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засобів за допомогою досягнення взаєморозуміння між партнерами спілкування. Таким чином, ефективна комунікація сприяє досягненню мети комунікатора.</w:t>
      </w:r>
    </w:p>
    <w:p w:rsid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Умови ефективної комунікації: </w:t>
      </w:r>
    </w:p>
    <w:p w:rsid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 спільна мова учасників спілкування;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- спільний словниковий запас;</w:t>
      </w:r>
    </w:p>
    <w:p w:rsid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- логічність мислення, вміння правильно висловлювати свої думки; 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 ставлення співрозмовників один до одного;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lastRenderedPageBreak/>
        <w:t>- довіра до співрозмовника;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 відвертість, щирість у процесі спілкування;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 відповідність між вербальними і невербальними способами спілкування;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 наявність єдиного комунікативного простору;</w:t>
      </w:r>
    </w:p>
    <w:p w:rsid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- наявність зворотного зв'язку, а також значущість інформації. 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Способи передачі інформації: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засоби масової інформації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(друковані: газети, журнали, книги, плакати, буклети, листівки; електронні: телебачення, радіо, комп'ютер та ін.);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через організації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(комунікативні можливості громадських організацій, підприємств різної форми власності, окремих громадян тощо);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неформальні контакти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(двобічні ланцюги обміну між керівництвом підприємств, урядом та громадянами-споживачами).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Функції комунікації: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інформативна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 забезпечення повноцінного обміну повідомленнями, тобто прийом та передавання інформації, сприйняття і осмислення її змісту; вибір адекватних вербальних і невербальних засобів передавання змісту інформації;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bookmarkStart w:id="3" w:name="_page_107_0"/>
      <w:bookmarkEnd w:id="2"/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індивідуальна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 задоволення індивідуальних потреб особистості в отриманні інформації;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комунікативного контролю —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будь-яке повідомлення містить інформацію про розподіл контролю між учасниками спілкування. Контроль (певний набір обмежень) може здійснюватися через погляд, спрямований на партнера, через мовчання, пози чи жести тощо;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експресивна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- забезпечення доступного, цікавого, </w:t>
      </w:r>
      <w:proofErr w:type="spellStart"/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емоційно</w:t>
      </w:r>
      <w:proofErr w:type="spellEnd"/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-виразного та яскравого передавання інформації, стимулювання у партнера необхідних емоційних станів.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Особистість у процесі комунікації добровільно розповідає про себе, намагаючись повідомити співрозмовнику інформацію, яка у цей момент недосяжна для інших. Саморозкриття індивіда, тобто добровільне повідомлення інформації про себе — характеризується поняттями «продуктивний», «ефективний», «відкритий» комунікативний обмін.</w:t>
      </w:r>
    </w:p>
    <w:p w:rsidR="00557253" w:rsidRDefault="00557253" w:rsidP="00557253">
      <w:pPr>
        <w:widowControl w:val="0"/>
        <w:tabs>
          <w:tab w:val="left" w:pos="1975"/>
          <w:tab w:val="left" w:pos="4304"/>
          <w:tab w:val="left" w:pos="6279"/>
          <w:tab w:val="left" w:pos="8786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Виходячи з визначення сутності комунікації, її ролі можна зробити висновок, що в аптечному закладі комунікативний процес безпосередньо пов'язаний з цілями, функціями й організаційною структурою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підприємства,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напрямами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інформаційних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потоків,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технологією їх передачі, розробкою комунікаційних стратегій. </w:t>
      </w:r>
    </w:p>
    <w:p w:rsid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2. ВИДИ КОМУНІКАЦІЇ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Специфіка міжособистісної комунікації виявляється у конкретних ситуаціях комунікативного процесу. Залежно від спрямованості інформації вона може мати різні види і форми.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Види комунікації залежать і від культурних традицій кожного народу, які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lastRenderedPageBreak/>
        <w:t>зумовлюють сприймання інформації. Тому в процесі комунікації необхідно враховувати стать, вік, освіту, професію, національність, соціальну роль співрозмовника.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Класифікація видів комунікацій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1. За сферою діяльності: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невиробнича —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не стосується процесу виробництва (особиста, побутова);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виробнича та науково-дослідна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 містить у собі аспекти освіти та підвищення кваліфікації.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За цілями повідомлення: </w:t>
      </w: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регуляторна -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спонукає партнера до дії;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емоційна -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адресована до почуттів і переживань співрозмовників; </w:t>
      </w: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ознайомлювальна -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передає тільки відомості про об'єкт.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bookmarkStart w:id="4" w:name="_page_109_0"/>
      <w:bookmarkEnd w:id="3"/>
      <w:r w:rsidRPr="00557253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3. </w:t>
      </w: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За формами передавання інформації: </w:t>
      </w: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міжособистісна </w:t>
      </w:r>
      <w:r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–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система установок, орієнтацій, очікувань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тощо, через які люди, спілкуючись, сприймають і оцінюють інформацію, якою безпосередньо обмінюються;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масова організована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 систематичне розповсюдження спеціально підготовлених повідомлень із застосуванням технічних засобів тиражування інформації (радіо, телебачення, преса, відео-, звуко-записи тощо), які мають соціальне значення і використовуються з метою впливу на установки, поведінку, думки й оцінки людей;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масова стихійна -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це чутки, інформація, що надходить від однієї або кількох осіб про непідтверджені події. Чутки з'являються тоді, коли система офіційної комунікації замовчує певні події. Інформація, яку вони містять, задовольняє потребу людини чи групи людей у змісті інформації, яку вони не отримали офіційними шляхами.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За місцем поширення: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внутрішня -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комунікаційні зв'язки (наприклад, в аптечному закладі);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зовнішня —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комунікаційні зв'язки (наприклад, між аптечними закладами).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5.</w:t>
      </w: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За кількістю учасників: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однобічна -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інформація поширюється тільки з одного джерела без подальшого обміну інформацією та спілкування;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двостороння —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йде взаємний обмін інформацією між двома сторонами;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За типом зв'язку: </w:t>
      </w: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людина - людина; людина - машина; машина - машина.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7. </w:t>
      </w: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За строком дії: </w:t>
      </w: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короткострокові; довгострокові.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8. За періодичністю: </w:t>
      </w: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регулярна;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епізодична.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Процес комунікації досить складний і багатогранний. Знання всіх видів комунікацій має важливе значення для фахівців фармацевтичної галузі для удосконалення ефективного обміну інформацією в аптечних закладах.</w:t>
      </w:r>
    </w:p>
    <w:p w:rsid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111_0"/>
      <w:bookmarkEnd w:id="4"/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3. Специфіка міжособистісної комунікації</w:t>
      </w:r>
    </w:p>
    <w:p w:rsidR="00557253" w:rsidRPr="00557253" w:rsidRDefault="00557253" w:rsidP="00557253">
      <w:pPr>
        <w:widowControl w:val="0"/>
        <w:tabs>
          <w:tab w:val="left" w:pos="2191"/>
          <w:tab w:val="left" w:pos="2932"/>
          <w:tab w:val="left" w:pos="4352"/>
          <w:tab w:val="left" w:pos="5799"/>
          <w:tab w:val="left" w:pos="7519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Особливості та результати взаємодії між людьми значною мірою залежать від того, як вони сприймають, розуміють і відтворюють поведінку одне одного, оцінюють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lastRenderedPageBreak/>
        <w:t>можливості інших учасників спілкування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власні.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Процес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взаємодії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супроводжується взаєморозумінням чи непорозумінням, здатністю чи нездатністю прогнозувати партнера по спілкуванню.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Взаєморозуміння можна спостерігати в процесі комунікації тоді, коли співрозмовник показав своїми діями та підтвердив вербальними і невербальними способами те, чого від нього чекали.</w:t>
      </w:r>
    </w:p>
    <w:p w:rsidR="00557253" w:rsidRPr="00557253" w:rsidRDefault="00557253" w:rsidP="00557253">
      <w:pPr>
        <w:widowControl w:val="0"/>
        <w:tabs>
          <w:tab w:val="left" w:pos="2394"/>
          <w:tab w:val="left" w:pos="3080"/>
          <w:tab w:val="left" w:pos="4001"/>
          <w:tab w:val="left" w:pos="5795"/>
          <w:tab w:val="left" w:pos="7555"/>
          <w:tab w:val="left" w:pos="9559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Непорозуміння може бути викликане навмисним чи ненавмисним викривленням інформації; великою кількістю інформації, яку співрозмовник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зміг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зрозуміти;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особистим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ставленням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до співрозмовника; невмінням слухати та ін.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Аспекти специфіки міжособистісної комунікації: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 наявність спільного комунікативного простору;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 активність учасників комунікації;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 орієнтація на мотиви, цілі, установки партнера по спілкуванню; - налагодження спільної діяльності;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- активний обмін інформацією.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Важливою передумовою забезпечення стійкої роботи аптечного закладу виступає наявність своєчасної достовірної інформації, на яку впливають різноманітні фактори прямої (постачальники, конкуренти, лікарі, споживачі, новітні технології) і непрямої дії (швидкість передачі) зовнішнього середовища. Але іноді виникають проблеми під час комунікативної взаємодії працівників аптечних закладів.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Аспекти порушення комунікацій: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технологічний —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точність переданих символів інформації; </w:t>
      </w: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семантичний —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визначає те, наскільки точно передані символи,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що відображають бажане значення;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аспект ефективності —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показує, наскільки ефективно впливає зміст і значення прийнятого повідомлення та пов'язаних з цією метою фінансових ресурсів на розвиток подій у необхідному напрямі і на діяльність підприємства в цілому, оптимальність.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Першочергове значення для людей, що реалізують себе через професії типу «людина - людина», має удосконалення комунікативної толерантності.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</w:pPr>
      <w:bookmarkStart w:id="6" w:name="_page_113_0"/>
      <w:bookmarkEnd w:id="5"/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Комунікативна толерантність - </w:t>
      </w: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це терпимість людини до інших людей, здатність приймати їх такими, якими вони є, без виникнення агресивних захисних дій.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Види комунікативної толерантності: </w:t>
      </w: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ситуативна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— до іншої конкретної людини; </w:t>
      </w: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типологічна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— до збірних типів особистостей або певних груп людей (наприклад, до представників конкретної нації, раси, професії);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професійна —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до змішаних людей, з якими доводиться мати справу за родом діяльності.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За характером впливу інформація може бути спонукальною і </w:t>
      </w:r>
      <w:proofErr w:type="spellStart"/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констатувальною</w:t>
      </w:r>
      <w:proofErr w:type="spellEnd"/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Спонукальну інформацію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висловлюють у наказі, проханні, пораді, інструкції, які призначені стимулювати певні дії.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proofErr w:type="spellStart"/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Констатувальна</w:t>
      </w:r>
      <w:proofErr w:type="spellEnd"/>
      <w:r w:rsidRPr="00557253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 інформація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передбачає зміну поведінки особистості не 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lastRenderedPageBreak/>
        <w:t>безпосередньо, а опосередковано і поширюється у формі повідомлення.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Людину, яка володіє багатст</w:t>
      </w:r>
      <w:r w:rsidR="00DB16E8">
        <w:rPr>
          <w:rFonts w:ascii="Times New Roman" w:eastAsia="Century Schoolbook" w:hAnsi="Times New Roman" w:cs="Times New Roman"/>
          <w:color w:val="000000"/>
          <w:sz w:val="26"/>
          <w:szCs w:val="26"/>
        </w:rPr>
        <w:t>вом комунікативної техніки і ви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користовує її на різних рівнях </w:t>
      </w:r>
      <w:r w:rsidR="00DB16E8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спілкування, називають комуніка</w:t>
      </w:r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бельною. Під комунікабельністю розуміють уміння спілкуватися.</w:t>
      </w:r>
    </w:p>
    <w:p w:rsidR="00557253" w:rsidRPr="00557253" w:rsidRDefault="00557253" w:rsidP="00557253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proofErr w:type="spellStart"/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>Комунікативність</w:t>
      </w:r>
      <w:proofErr w:type="spellEnd"/>
      <w:r w:rsidRPr="00557253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(комунікабельність) фахівців фармації формується під впливом багатьох чинників, серед яких переважають особистісні якості (емоції, ціннісні орієнтації, уміння говорити, слухати та ін.).</w:t>
      </w:r>
    </w:p>
    <w:bookmarkEnd w:id="6"/>
    <w:p w:rsidR="00557253" w:rsidRPr="00557253" w:rsidRDefault="00557253" w:rsidP="00557253">
      <w:pPr>
        <w:spacing w:line="288" w:lineRule="auto"/>
        <w:ind w:firstLine="567"/>
        <w:jc w:val="both"/>
        <w:rPr>
          <w:rFonts w:ascii="Times New Roman" w:eastAsia="Century Schoolbook" w:hAnsi="Times New Roman" w:cs="Times New Roman"/>
          <w:sz w:val="26"/>
          <w:szCs w:val="26"/>
        </w:rPr>
      </w:pPr>
    </w:p>
    <w:sectPr w:rsidR="00557253" w:rsidRPr="00557253" w:rsidSect="00E17784">
      <w:pgSz w:w="11904" w:h="16835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53"/>
    <w:rsid w:val="002B2806"/>
    <w:rsid w:val="002E49DB"/>
    <w:rsid w:val="00557253"/>
    <w:rsid w:val="00A17D45"/>
    <w:rsid w:val="00AF137B"/>
    <w:rsid w:val="00DB16E8"/>
    <w:rsid w:val="00E1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9003-07C0-4B11-B85F-044D808C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53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6384</Words>
  <Characters>3640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2022-10-29T07:52:00Z</dcterms:created>
  <dcterms:modified xsi:type="dcterms:W3CDTF">2022-10-29T08:00:00Z</dcterms:modified>
</cp:coreProperties>
</file>